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仿宋" w:hAnsi="仿宋" w:eastAsia="仿宋" w:cs="Times New Roman"/>
          <w:sz w:val="32"/>
          <w:szCs w:val="32"/>
        </w:rPr>
        <w:id w:val="-915466792"/>
      </w:sdtPr>
      <w:sdtEndPr>
        <w:rPr>
          <w:rFonts w:ascii="仿宋" w:hAnsi="仿宋" w:eastAsia="仿宋" w:cs="Times New Roman"/>
          <w:sz w:val="32"/>
          <w:szCs w:val="32"/>
        </w:rPr>
      </w:sdtEndPr>
      <w:sdtContent>
        <w:p>
          <w:pPr>
            <w:spacing w:line="360" w:lineRule="auto"/>
            <w:rPr>
              <w:rFonts w:ascii="仿宋" w:hAnsi="仿宋" w:eastAsia="仿宋" w:cs="Times New Roman"/>
              <w:sz w:val="32"/>
              <w:szCs w:val="32"/>
            </w:rPr>
          </w:pPr>
        </w:p>
        <w:p>
          <w:pPr>
            <w:spacing w:line="360" w:lineRule="auto"/>
            <w:rPr>
              <w:rFonts w:ascii="仿宋" w:hAnsi="仿宋" w:eastAsia="仿宋" w:cs="Times New Roman"/>
              <w:sz w:val="32"/>
              <w:szCs w:val="32"/>
            </w:rPr>
          </w:pPr>
        </w:p>
        <w:p>
          <w:pPr>
            <w:spacing w:line="360" w:lineRule="auto"/>
            <w:rPr>
              <w:rFonts w:ascii="仿宋" w:hAnsi="仿宋" w:eastAsia="仿宋" w:cs="Times New Roman"/>
              <w:sz w:val="32"/>
              <w:szCs w:val="32"/>
            </w:rPr>
          </w:pPr>
        </w:p>
        <w:p>
          <w:pPr>
            <w:spacing w:line="360" w:lineRule="auto"/>
            <w:rPr>
              <w:rFonts w:ascii="仿宋" w:hAnsi="仿宋" w:eastAsia="仿宋" w:cs="Times New Roman"/>
              <w:sz w:val="32"/>
              <w:szCs w:val="32"/>
            </w:rPr>
          </w:pPr>
        </w:p>
        <w:p>
          <w:pPr>
            <w:spacing w:before="156" w:beforeLines="50" w:after="156" w:afterLines="50" w:line="720" w:lineRule="auto"/>
            <w:jc w:val="center"/>
            <w:rPr>
              <w:rFonts w:ascii="仿宋" w:hAnsi="仿宋" w:eastAsia="仿宋" w:cs="方正小标宋简体"/>
              <w:sz w:val="44"/>
              <w:szCs w:val="44"/>
            </w:rPr>
          </w:pPr>
          <w:r>
            <w:rPr>
              <w:rFonts w:hint="eastAsia" w:ascii="仿宋" w:hAnsi="仿宋" w:eastAsia="仿宋" w:cs="方正小标宋简体"/>
              <w:sz w:val="44"/>
              <w:szCs w:val="44"/>
            </w:rPr>
            <w:t>第</w:t>
          </w:r>
          <w:r>
            <w:rPr>
              <w:rFonts w:hint="eastAsia" w:ascii="仿宋" w:hAnsi="仿宋" w:eastAsia="仿宋" w:cs="方正小标宋简体"/>
              <w:sz w:val="44"/>
              <w:szCs w:val="44"/>
              <w:lang w:val="en-US" w:eastAsia="zh-CN"/>
            </w:rPr>
            <w:t>三</w:t>
          </w:r>
          <w:r>
            <w:rPr>
              <w:rFonts w:hint="eastAsia" w:ascii="仿宋" w:hAnsi="仿宋" w:eastAsia="仿宋" w:cs="方正小标宋简体"/>
              <w:sz w:val="44"/>
              <w:szCs w:val="44"/>
            </w:rPr>
            <w:t>届</w:t>
          </w:r>
        </w:p>
        <w:p>
          <w:pPr>
            <w:spacing w:before="156" w:beforeLines="50" w:after="156" w:afterLines="50" w:line="720" w:lineRule="auto"/>
            <w:jc w:val="center"/>
            <w:rPr>
              <w:rFonts w:ascii="仿宋" w:hAnsi="仿宋" w:eastAsia="仿宋" w:cs="方正小标宋简体"/>
              <w:sz w:val="44"/>
              <w:szCs w:val="44"/>
            </w:rPr>
          </w:pPr>
          <w:r>
            <w:rPr>
              <w:rFonts w:hint="eastAsia" w:ascii="仿宋" w:hAnsi="仿宋" w:eastAsia="仿宋" w:cs="方正小标宋简体"/>
              <w:sz w:val="44"/>
              <w:szCs w:val="44"/>
            </w:rPr>
            <w:t>中国研究生“双碳”创新与创意大赛</w:t>
          </w:r>
        </w:p>
        <w:p>
          <w:pPr>
            <w:spacing w:before="156" w:beforeLines="50" w:after="156" w:afterLines="50" w:line="720" w:lineRule="auto"/>
            <w:jc w:val="center"/>
            <w:rPr>
              <w:rFonts w:ascii="仿宋" w:hAnsi="仿宋" w:eastAsia="仿宋" w:cs="方正小标宋简体"/>
              <w:sz w:val="44"/>
              <w:szCs w:val="44"/>
            </w:rPr>
          </w:pPr>
          <w:r>
            <w:rPr>
              <w:rFonts w:hint="eastAsia" w:ascii="仿宋" w:hAnsi="仿宋" w:eastAsia="仿宋" w:cs="方正小标宋简体"/>
              <w:sz w:val="44"/>
              <w:szCs w:val="44"/>
            </w:rPr>
            <w:t>参赛指南</w:t>
          </w:r>
        </w:p>
        <w:p>
          <w:pPr>
            <w:spacing w:before="156" w:beforeLines="50" w:after="156" w:afterLines="50" w:line="440" w:lineRule="exact"/>
            <w:ind w:firstLine="480"/>
            <w:rPr>
              <w:rFonts w:ascii="仿宋" w:hAnsi="仿宋" w:eastAsia="仿宋" w:cs="Times New Roman"/>
              <w:sz w:val="32"/>
              <w:szCs w:val="32"/>
            </w:rPr>
          </w:pPr>
        </w:p>
        <w:p>
          <w:pPr>
            <w:spacing w:before="156" w:beforeLines="50" w:after="156" w:afterLines="50" w:line="440" w:lineRule="exact"/>
            <w:ind w:firstLine="480"/>
            <w:rPr>
              <w:rFonts w:ascii="仿宋" w:hAnsi="仿宋" w:eastAsia="仿宋" w:cs="Times New Roman"/>
              <w:sz w:val="32"/>
              <w:szCs w:val="32"/>
            </w:rPr>
          </w:pPr>
        </w:p>
        <w:p>
          <w:pPr>
            <w:spacing w:before="156" w:beforeLines="50" w:after="156" w:afterLines="50" w:line="440" w:lineRule="exact"/>
            <w:ind w:firstLine="480"/>
            <w:rPr>
              <w:rFonts w:ascii="仿宋" w:hAnsi="仿宋" w:eastAsia="仿宋" w:cs="Times New Roman"/>
              <w:sz w:val="32"/>
              <w:szCs w:val="32"/>
            </w:rPr>
          </w:pPr>
        </w:p>
        <w:p>
          <w:pPr>
            <w:spacing w:before="156" w:beforeLines="50" w:after="156" w:afterLines="50" w:line="440" w:lineRule="exact"/>
            <w:rPr>
              <w:rFonts w:ascii="仿宋" w:hAnsi="仿宋" w:eastAsia="仿宋" w:cs="Times New Roman"/>
              <w:sz w:val="32"/>
              <w:szCs w:val="32"/>
            </w:rPr>
          </w:pPr>
        </w:p>
        <w:p>
          <w:pPr>
            <w:spacing w:before="156" w:beforeLines="50" w:after="156" w:afterLines="50" w:line="440" w:lineRule="exact"/>
            <w:rPr>
              <w:rFonts w:ascii="仿宋" w:hAnsi="仿宋" w:eastAsia="仿宋" w:cs="Times New Roman"/>
              <w:sz w:val="32"/>
              <w:szCs w:val="32"/>
            </w:rPr>
          </w:pPr>
        </w:p>
        <w:p>
          <w:pPr>
            <w:spacing w:before="156" w:beforeLines="50" w:after="156" w:afterLines="50" w:line="440" w:lineRule="exact"/>
            <w:rPr>
              <w:rFonts w:ascii="仿宋" w:hAnsi="仿宋" w:eastAsia="仿宋" w:cs="Times New Roman"/>
              <w:sz w:val="32"/>
              <w:szCs w:val="32"/>
            </w:rPr>
          </w:pPr>
        </w:p>
        <w:p>
          <w:pPr>
            <w:spacing w:before="156" w:beforeLines="50" w:after="156" w:afterLines="50" w:line="440" w:lineRule="exact"/>
            <w:rPr>
              <w:rFonts w:ascii="仿宋" w:hAnsi="仿宋" w:eastAsia="仿宋" w:cs="Times New Roman"/>
              <w:sz w:val="32"/>
              <w:szCs w:val="32"/>
            </w:rPr>
          </w:pPr>
        </w:p>
        <w:p>
          <w:pPr>
            <w:spacing w:before="156" w:beforeLines="50" w:after="156" w:afterLines="50" w:line="440" w:lineRule="exact"/>
            <w:rPr>
              <w:rFonts w:ascii="仿宋" w:hAnsi="仿宋" w:eastAsia="仿宋" w:cs="Times New Roman"/>
              <w:sz w:val="32"/>
              <w:szCs w:val="32"/>
            </w:rPr>
          </w:pPr>
        </w:p>
        <w:p>
          <w:pPr>
            <w:spacing w:before="156" w:beforeLines="50" w:after="156" w:afterLines="50" w:line="440" w:lineRule="exact"/>
            <w:jc w:val="center"/>
            <w:rPr>
              <w:rFonts w:ascii="仿宋" w:hAnsi="仿宋" w:eastAsia="仿宋" w:cs="Times New Roman"/>
              <w:sz w:val="32"/>
              <w:szCs w:val="32"/>
              <w:highlight w:val="none"/>
            </w:rPr>
          </w:pPr>
          <w:r>
            <w:rPr>
              <w:rFonts w:ascii="仿宋" w:hAnsi="仿宋" w:eastAsia="仿宋" w:cs="Times New Roman"/>
              <w:sz w:val="32"/>
              <w:szCs w:val="32"/>
            </w:rPr>
            <w:t>大赛执行</w:t>
          </w:r>
          <w:r>
            <w:rPr>
              <w:rFonts w:ascii="仿宋" w:hAnsi="仿宋" w:eastAsia="仿宋" w:cs="Times New Roman"/>
              <w:sz w:val="32"/>
              <w:szCs w:val="32"/>
              <w:highlight w:val="none"/>
            </w:rPr>
            <w:t>委员会</w:t>
          </w:r>
        </w:p>
        <w:p>
          <w:pPr>
            <w:spacing w:before="156" w:beforeLines="50" w:after="156" w:afterLines="50" w:line="440" w:lineRule="exact"/>
            <w:jc w:val="center"/>
            <w:rPr>
              <w:rFonts w:ascii="仿宋" w:hAnsi="仿宋" w:eastAsia="仿宋" w:cs="Times New Roman"/>
              <w:sz w:val="32"/>
              <w:szCs w:val="32"/>
              <w:highlight w:val="none"/>
            </w:rPr>
          </w:pPr>
          <w:bookmarkStart w:id="0" w:name="_Hlk101438242"/>
          <w:r>
            <w:rPr>
              <w:rFonts w:ascii="仿宋" w:hAnsi="仿宋" w:eastAsia="仿宋" w:cs="Times New Roman"/>
              <w:sz w:val="32"/>
              <w:szCs w:val="32"/>
              <w:highlight w:val="none"/>
            </w:rPr>
            <w:t>二〇二</w:t>
          </w:r>
          <w:r>
            <w:rPr>
              <w:rFonts w:hint="eastAsia" w:ascii="仿宋" w:hAnsi="仿宋" w:eastAsia="仿宋" w:cs="Times New Roman"/>
              <w:sz w:val="32"/>
              <w:szCs w:val="32"/>
              <w:highlight w:val="none"/>
            </w:rPr>
            <w:t>四</w:t>
          </w:r>
          <w:r>
            <w:rPr>
              <w:rFonts w:ascii="仿宋" w:hAnsi="仿宋" w:eastAsia="仿宋" w:cs="Times New Roman"/>
              <w:sz w:val="32"/>
              <w:szCs w:val="32"/>
              <w:highlight w:val="none"/>
            </w:rPr>
            <w:t>年</w:t>
          </w:r>
          <w:bookmarkEnd w:id="0"/>
          <w:r>
            <w:rPr>
              <w:rFonts w:hint="eastAsia" w:ascii="仿宋" w:hAnsi="仿宋" w:eastAsia="仿宋" w:cs="Times New Roman"/>
              <w:sz w:val="32"/>
              <w:szCs w:val="32"/>
              <w:highlight w:val="none"/>
              <w:lang w:val="en-US" w:eastAsia="zh-CN"/>
            </w:rPr>
            <w:t>六</w:t>
          </w:r>
          <w:r>
            <w:rPr>
              <w:rFonts w:ascii="仿宋" w:hAnsi="仿宋" w:eastAsia="仿宋" w:cs="Times New Roman"/>
              <w:sz w:val="32"/>
              <w:szCs w:val="32"/>
              <w:highlight w:val="none"/>
            </w:rPr>
            <w:t>月</w:t>
          </w:r>
        </w:p>
        <w:p>
          <w:pPr>
            <w:widowControl/>
            <w:spacing w:line="360" w:lineRule="auto"/>
            <w:rPr>
              <w:rFonts w:ascii="仿宋" w:hAnsi="仿宋" w:eastAsia="仿宋" w:cs="Times New Roman"/>
              <w:b/>
              <w:bCs/>
              <w:sz w:val="32"/>
              <w:szCs w:val="32"/>
              <w:lang w:val="zh-CN"/>
            </w:rPr>
          </w:pPr>
        </w:p>
        <w:p>
          <w:pPr>
            <w:widowControl/>
            <w:spacing w:line="360" w:lineRule="auto"/>
            <w:rPr>
              <w:rFonts w:ascii="仿宋" w:hAnsi="仿宋" w:eastAsia="仿宋" w:cs="Times New Roman"/>
              <w:b/>
              <w:bCs/>
              <w:sz w:val="32"/>
              <w:szCs w:val="32"/>
              <w:lang w:val="zh-CN"/>
            </w:rPr>
          </w:pPr>
        </w:p>
      </w:sdtContent>
    </w:sdt>
    <w:p>
      <w:pPr>
        <w:widowControl/>
        <w:spacing w:before="156" w:beforeLines="50" w:line="360" w:lineRule="auto"/>
        <w:jc w:val="center"/>
        <w:rPr>
          <w:rFonts w:ascii="仿宋" w:hAnsi="仿宋" w:eastAsia="仿宋" w:cs="仿宋"/>
          <w:b/>
          <w:bCs/>
          <w:kern w:val="44"/>
          <w:sz w:val="32"/>
          <w:szCs w:val="32"/>
        </w:rPr>
      </w:pPr>
      <w:bookmarkStart w:id="1" w:name="_Toc70718033"/>
      <w:r>
        <w:rPr>
          <w:rFonts w:hint="eastAsia" w:ascii="仿宋" w:hAnsi="仿宋" w:eastAsia="仿宋" w:cs="仿宋"/>
          <w:b/>
          <w:bCs/>
          <w:kern w:val="44"/>
          <w:sz w:val="32"/>
          <w:szCs w:val="32"/>
        </w:rPr>
        <w:t xml:space="preserve"> </w:t>
      </w:r>
    </w:p>
    <w:p>
      <w:pPr>
        <w:widowControl/>
        <w:spacing w:before="156" w:beforeLines="50" w:line="360" w:lineRule="auto"/>
        <w:jc w:val="center"/>
        <w:rPr>
          <w:rFonts w:ascii="仿宋" w:hAnsi="仿宋" w:eastAsia="仿宋" w:cs="仿宋"/>
          <w:b/>
          <w:bCs/>
          <w:kern w:val="44"/>
          <w:sz w:val="32"/>
          <w:szCs w:val="32"/>
        </w:rPr>
      </w:pPr>
    </w:p>
    <w:p>
      <w:pPr>
        <w:widowControl/>
        <w:spacing w:line="360" w:lineRule="auto"/>
        <w:jc w:val="left"/>
        <w:rPr>
          <w:rFonts w:ascii="仿宋" w:hAnsi="仿宋" w:eastAsia="仿宋" w:cs="仿宋"/>
          <w:b/>
          <w:bCs/>
          <w:kern w:val="44"/>
          <w:sz w:val="32"/>
          <w:szCs w:val="32"/>
        </w:rPr>
      </w:pPr>
      <w:r>
        <w:rPr>
          <w:rFonts w:hint="eastAsia" w:ascii="仿宋" w:hAnsi="仿宋" w:eastAsia="仿宋" w:cs="仿宋"/>
          <w:b/>
          <w:bCs/>
          <w:kern w:val="44"/>
          <w:sz w:val="32"/>
          <w:szCs w:val="32"/>
        </w:rPr>
        <w:t>指导单位</w:t>
      </w:r>
    </w:p>
    <w:p>
      <w:pPr>
        <w:widowControl/>
        <w:spacing w:line="360" w:lineRule="auto"/>
        <w:ind w:firstLine="640" w:firstLineChars="200"/>
        <w:jc w:val="left"/>
        <w:rPr>
          <w:rFonts w:ascii="仿宋" w:hAnsi="仿宋" w:eastAsia="仿宋" w:cs="仿宋"/>
          <w:kern w:val="44"/>
          <w:sz w:val="32"/>
          <w:szCs w:val="32"/>
        </w:rPr>
      </w:pPr>
      <w:r>
        <w:rPr>
          <w:rFonts w:hint="eastAsia" w:ascii="仿宋" w:hAnsi="仿宋" w:eastAsia="仿宋" w:cs="仿宋"/>
          <w:kern w:val="44"/>
          <w:sz w:val="32"/>
          <w:szCs w:val="32"/>
        </w:rPr>
        <w:t>教育部学位管理与研究生教育司</w:t>
      </w:r>
    </w:p>
    <w:p>
      <w:pPr>
        <w:widowControl/>
        <w:spacing w:line="360" w:lineRule="auto"/>
        <w:jc w:val="left"/>
        <w:rPr>
          <w:rFonts w:ascii="仿宋" w:hAnsi="仿宋" w:eastAsia="仿宋" w:cs="仿宋"/>
          <w:b/>
          <w:bCs/>
          <w:kern w:val="44"/>
          <w:sz w:val="32"/>
          <w:szCs w:val="32"/>
        </w:rPr>
      </w:pPr>
      <w:r>
        <w:rPr>
          <w:rFonts w:hint="eastAsia" w:ascii="仿宋" w:hAnsi="仿宋" w:eastAsia="仿宋" w:cs="仿宋"/>
          <w:b/>
          <w:bCs/>
          <w:kern w:val="44"/>
          <w:sz w:val="32"/>
          <w:szCs w:val="32"/>
        </w:rPr>
        <w:t>主办单位</w:t>
      </w:r>
    </w:p>
    <w:p>
      <w:pPr>
        <w:widowControl/>
        <w:spacing w:line="360" w:lineRule="auto"/>
        <w:ind w:firstLine="640" w:firstLineChars="200"/>
        <w:jc w:val="left"/>
        <w:rPr>
          <w:rFonts w:ascii="仿宋" w:hAnsi="仿宋" w:eastAsia="仿宋" w:cs="仿宋"/>
          <w:kern w:val="44"/>
          <w:sz w:val="32"/>
          <w:szCs w:val="32"/>
        </w:rPr>
      </w:pPr>
      <w:r>
        <w:rPr>
          <w:rFonts w:hint="eastAsia" w:ascii="仿宋" w:hAnsi="仿宋" w:eastAsia="仿宋" w:cs="仿宋"/>
          <w:kern w:val="44"/>
          <w:sz w:val="32"/>
          <w:szCs w:val="32"/>
        </w:rPr>
        <w:t>中国学位与研究生教育学会</w:t>
      </w:r>
    </w:p>
    <w:p>
      <w:pPr>
        <w:widowControl/>
        <w:spacing w:line="360" w:lineRule="auto"/>
        <w:ind w:firstLine="640" w:firstLineChars="200"/>
        <w:jc w:val="left"/>
        <w:rPr>
          <w:rFonts w:hint="eastAsia" w:ascii="仿宋" w:hAnsi="仿宋" w:eastAsia="仿宋" w:cs="仿宋"/>
          <w:kern w:val="44"/>
          <w:sz w:val="32"/>
          <w:szCs w:val="32"/>
        </w:rPr>
      </w:pPr>
      <w:r>
        <w:rPr>
          <w:rFonts w:hint="eastAsia" w:ascii="仿宋" w:hAnsi="仿宋" w:eastAsia="仿宋" w:cs="仿宋"/>
          <w:kern w:val="44"/>
          <w:sz w:val="32"/>
          <w:szCs w:val="32"/>
        </w:rPr>
        <w:t>中国科协青少年科技中心</w:t>
      </w:r>
    </w:p>
    <w:p>
      <w:pPr>
        <w:widowControl/>
        <w:spacing w:line="360" w:lineRule="auto"/>
        <w:jc w:val="left"/>
        <w:rPr>
          <w:rFonts w:hint="eastAsia" w:ascii="仿宋" w:hAnsi="仿宋" w:eastAsia="仿宋" w:cs="仿宋"/>
          <w:b/>
          <w:bCs/>
          <w:kern w:val="44"/>
          <w:sz w:val="32"/>
          <w:szCs w:val="32"/>
        </w:rPr>
      </w:pPr>
      <w:r>
        <w:rPr>
          <w:rFonts w:hint="eastAsia" w:ascii="仿宋" w:hAnsi="仿宋" w:eastAsia="仿宋" w:cs="仿宋"/>
          <w:b/>
          <w:bCs/>
          <w:kern w:val="44"/>
          <w:sz w:val="32"/>
          <w:szCs w:val="32"/>
        </w:rPr>
        <w:t>组委会秘书处</w:t>
      </w:r>
    </w:p>
    <w:p>
      <w:pPr>
        <w:widowControl/>
        <w:spacing w:line="360" w:lineRule="auto"/>
        <w:ind w:firstLine="640" w:firstLineChars="200"/>
        <w:jc w:val="left"/>
        <w:rPr>
          <w:rFonts w:hint="eastAsia" w:ascii="仿宋" w:hAnsi="仿宋" w:eastAsia="仿宋" w:cs="仿宋"/>
          <w:kern w:val="44"/>
          <w:sz w:val="32"/>
          <w:szCs w:val="32"/>
        </w:rPr>
      </w:pPr>
      <w:r>
        <w:rPr>
          <w:rFonts w:hint="eastAsia" w:ascii="仿宋" w:hAnsi="仿宋" w:eastAsia="仿宋" w:cs="仿宋"/>
          <w:kern w:val="44"/>
          <w:sz w:val="32"/>
          <w:szCs w:val="32"/>
        </w:rPr>
        <w:t>清华大学深圳国际研究生院</w:t>
      </w:r>
    </w:p>
    <w:p>
      <w:pPr>
        <w:widowControl/>
        <w:spacing w:line="360" w:lineRule="auto"/>
        <w:jc w:val="left"/>
        <w:rPr>
          <w:rFonts w:ascii="仿宋" w:hAnsi="仿宋" w:eastAsia="仿宋" w:cs="仿宋"/>
          <w:b/>
          <w:bCs/>
          <w:kern w:val="44"/>
          <w:sz w:val="32"/>
          <w:szCs w:val="32"/>
          <w:highlight w:val="none"/>
        </w:rPr>
      </w:pPr>
      <w:r>
        <w:rPr>
          <w:rFonts w:hint="eastAsia" w:ascii="仿宋" w:hAnsi="仿宋" w:eastAsia="仿宋" w:cs="仿宋"/>
          <w:b/>
          <w:bCs/>
          <w:kern w:val="44"/>
          <w:sz w:val="32"/>
          <w:szCs w:val="32"/>
          <w:highlight w:val="none"/>
        </w:rPr>
        <w:t>承办单位</w:t>
      </w:r>
    </w:p>
    <w:p>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ascii="仿宋" w:hAnsi="仿宋" w:eastAsia="仿宋" w:cs="仿宋"/>
          <w:color w:val="FF0000"/>
          <w:kern w:val="44"/>
          <w:sz w:val="32"/>
          <w:szCs w:val="32"/>
        </w:rPr>
      </w:pPr>
      <w:r>
        <w:rPr>
          <w:rFonts w:hint="eastAsia" w:ascii="仿宋" w:hAnsi="仿宋" w:eastAsia="仿宋" w:cs="仿宋"/>
          <w:b w:val="0"/>
          <w:bCs w:val="0"/>
          <w:kern w:val="44"/>
          <w:sz w:val="32"/>
          <w:szCs w:val="32"/>
          <w:highlight w:val="none"/>
        </w:rPr>
        <w:t>武汉</w:t>
      </w:r>
      <w:r>
        <w:rPr>
          <w:rFonts w:hint="eastAsia" w:ascii="仿宋" w:hAnsi="仿宋" w:eastAsia="仿宋" w:cs="仿宋"/>
          <w:kern w:val="44"/>
          <w:sz w:val="32"/>
          <w:szCs w:val="32"/>
          <w:highlight w:val="none"/>
        </w:rPr>
        <w:t>理工大学</w:t>
      </w:r>
      <w:r>
        <w:rPr>
          <w:rFonts w:hint="eastAsia" w:ascii="仿宋" w:hAnsi="仿宋" w:eastAsia="仿宋" w:cs="仿宋"/>
          <w:kern w:val="44"/>
          <w:sz w:val="32"/>
          <w:szCs w:val="32"/>
          <w:highlight w:val="none"/>
          <w:lang w:eastAsia="zh-CN"/>
        </w:rPr>
        <w:t>、</w:t>
      </w:r>
      <w:r>
        <w:rPr>
          <w:rFonts w:hint="eastAsia" w:ascii="仿宋" w:hAnsi="仿宋" w:eastAsia="仿宋" w:cs="仿宋"/>
          <w:kern w:val="44"/>
          <w:sz w:val="32"/>
          <w:szCs w:val="32"/>
          <w:highlight w:val="none"/>
        </w:rPr>
        <w:t>中共武汉市委组织部（武汉市人才工作局）、武汉经济技术开发区管理委员会</w:t>
      </w:r>
      <w:r>
        <w:rPr>
          <w:rFonts w:hint="eastAsia" w:ascii="仿宋" w:hAnsi="仿宋" w:eastAsia="仿宋" w:cs="仿宋"/>
          <w:kern w:val="44"/>
          <w:sz w:val="32"/>
          <w:szCs w:val="32"/>
          <w:highlight w:val="none"/>
          <w:lang w:eastAsia="zh-CN"/>
        </w:rPr>
        <w:t>、</w:t>
      </w:r>
      <w:r>
        <w:rPr>
          <w:rFonts w:hint="eastAsia" w:ascii="仿宋" w:hAnsi="仿宋" w:eastAsia="仿宋" w:cs="仿宋"/>
          <w:kern w:val="44"/>
          <w:sz w:val="32"/>
          <w:szCs w:val="32"/>
          <w:highlight w:val="none"/>
        </w:rPr>
        <w:t>武昌区人民政府</w:t>
      </w:r>
      <w:bookmarkStart w:id="30" w:name="_GoBack"/>
      <w:bookmarkEnd w:id="30"/>
      <w:r>
        <w:rPr>
          <w:rFonts w:ascii="仿宋" w:hAnsi="仿宋" w:eastAsia="仿宋" w:cs="仿宋"/>
          <w:color w:val="FF0000"/>
          <w:kern w:val="44"/>
          <w:sz w:val="32"/>
          <w:szCs w:val="32"/>
        </w:rPr>
        <w:br w:type="page"/>
      </w:r>
    </w:p>
    <w:p>
      <w:pPr>
        <w:spacing w:line="360" w:lineRule="auto"/>
        <w:jc w:val="center"/>
        <w:rPr>
          <w:rFonts w:hint="eastAsia" w:ascii="仿宋" w:hAnsi="仿宋" w:eastAsia="仿宋" w:cs="仿宋"/>
          <w:b/>
          <w:bCs/>
          <w:sz w:val="32"/>
          <w:szCs w:val="32"/>
          <w:lang w:val="zh-CN"/>
        </w:rPr>
      </w:pPr>
      <w:bookmarkStart w:id="2" w:name="_Hlk137067631"/>
      <w:r>
        <w:rPr>
          <w:rFonts w:hint="eastAsia" w:ascii="仿宋" w:hAnsi="仿宋" w:eastAsia="仿宋" w:cs="仿宋"/>
          <w:b/>
          <w:bCs/>
          <w:sz w:val="32"/>
          <w:szCs w:val="32"/>
          <w:lang w:val="zh-CN"/>
        </w:rPr>
        <w:t>目  录</w:t>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color w:val="000000"/>
          <w:sz w:val="32"/>
          <w:szCs w:val="32"/>
        </w:rPr>
        <w:fldChar w:fldCharType="begin"/>
      </w:r>
      <w:r>
        <w:rPr>
          <w:rFonts w:hint="eastAsia" w:ascii="仿宋" w:hAnsi="仿宋" w:eastAsia="仿宋" w:cs="仿宋"/>
          <w:b/>
          <w:bCs/>
          <w:i w:val="0"/>
          <w:iCs w:val="0"/>
          <w:color w:val="000000"/>
          <w:sz w:val="32"/>
          <w:szCs w:val="32"/>
        </w:rPr>
        <w:instrText xml:space="preserve"> TOC \o "1-3" \h \z \u </w:instrText>
      </w:r>
      <w:r>
        <w:rPr>
          <w:rFonts w:hint="eastAsia" w:ascii="仿宋" w:hAnsi="仿宋" w:eastAsia="仿宋" w:cs="仿宋"/>
          <w:b/>
          <w:bCs/>
          <w:i w:val="0"/>
          <w:iCs w:val="0"/>
          <w:color w:val="000000"/>
          <w:sz w:val="32"/>
          <w:szCs w:val="32"/>
        </w:rPr>
        <w:fldChar w:fldCharType="separate"/>
      </w:r>
      <w:r>
        <w:rPr>
          <w:rFonts w:hint="eastAsia" w:ascii="仿宋" w:hAnsi="仿宋" w:eastAsia="仿宋" w:cs="仿宋"/>
          <w:b/>
          <w:bCs/>
          <w:i w:val="0"/>
          <w:iCs w:val="0"/>
          <w:color w:val="000000"/>
          <w:sz w:val="32"/>
          <w:szCs w:val="32"/>
        </w:rPr>
        <w:fldChar w:fldCharType="begin"/>
      </w:r>
      <w:r>
        <w:rPr>
          <w:rFonts w:hint="eastAsia" w:ascii="仿宋" w:hAnsi="仿宋" w:eastAsia="仿宋" w:cs="仿宋"/>
          <w:b/>
          <w:bCs/>
          <w:i w:val="0"/>
          <w:iCs w:val="0"/>
          <w:sz w:val="32"/>
          <w:szCs w:val="32"/>
        </w:rPr>
        <w:instrText xml:space="preserve"> HYPERLINK \l _Toc16770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kern w:val="44"/>
          <w:sz w:val="32"/>
          <w:szCs w:val="32"/>
        </w:rPr>
        <w:t>第一章 大赛简介</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_Toc16770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color w:val="000000"/>
          <w:sz w:val="32"/>
          <w:szCs w:val="32"/>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_Toc30117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kern w:val="44"/>
          <w:sz w:val="32"/>
          <w:szCs w:val="32"/>
        </w:rPr>
        <w:t>第二章 大赛内容</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_Toc30117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_Toc26212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1赛题</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_Toc26212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_Toc15267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2参赛</w:t>
      </w:r>
      <w:r>
        <w:rPr>
          <w:rFonts w:hint="eastAsia" w:ascii="仿宋" w:hAnsi="仿宋" w:eastAsia="仿宋" w:cs="仿宋"/>
          <w:b/>
          <w:bCs/>
          <w:i w:val="0"/>
          <w:iCs w:val="0"/>
          <w:sz w:val="32"/>
          <w:szCs w:val="32"/>
          <w:lang w:val="en-US" w:eastAsia="zh-CN"/>
        </w:rPr>
        <w:t>作品</w:t>
      </w:r>
      <w:r>
        <w:rPr>
          <w:rFonts w:hint="eastAsia" w:ascii="仿宋" w:hAnsi="仿宋" w:eastAsia="仿宋" w:cs="仿宋"/>
          <w:b/>
          <w:bCs/>
          <w:i w:val="0"/>
          <w:iCs w:val="0"/>
          <w:sz w:val="32"/>
          <w:szCs w:val="32"/>
        </w:rPr>
        <w:t>要求</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_Toc15267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_Toc6309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1专家命题赛道</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_Toc6309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ind w:left="420"/>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_Toc12755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2企业命题赛道</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_Toc12755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_Toc16990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w:t>
      </w:r>
      <w:r>
        <w:rPr>
          <w:rFonts w:hint="eastAsia" w:ascii="仿宋" w:hAnsi="仿宋" w:eastAsia="仿宋" w:cs="仿宋"/>
          <w:b/>
          <w:bCs/>
          <w:i w:val="0"/>
          <w:iCs w:val="0"/>
          <w:sz w:val="32"/>
          <w:szCs w:val="32"/>
          <w:lang w:val="en-US" w:eastAsia="zh-CN"/>
        </w:rPr>
        <w:t>.</w:t>
      </w:r>
      <w:r>
        <w:rPr>
          <w:rFonts w:hint="eastAsia" w:ascii="仿宋" w:hAnsi="仿宋" w:eastAsia="仿宋" w:cs="仿宋"/>
          <w:b/>
          <w:bCs/>
          <w:i w:val="0"/>
          <w:iCs w:val="0"/>
          <w:sz w:val="32"/>
          <w:szCs w:val="32"/>
        </w:rPr>
        <w:t>3赛制</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_Toc16990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5</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_Toc30315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2.3.</w:t>
      </w:r>
      <w:r>
        <w:rPr>
          <w:rFonts w:hint="eastAsia" w:ascii="仿宋" w:hAnsi="仿宋" w:eastAsia="仿宋" w:cs="仿宋"/>
          <w:b/>
          <w:bCs/>
          <w:i w:val="0"/>
          <w:iCs w:val="0"/>
          <w:sz w:val="32"/>
          <w:szCs w:val="32"/>
          <w:lang w:val="en-US" w:eastAsia="zh-CN"/>
        </w:rPr>
        <w:t>1</w:t>
      </w:r>
      <w:r>
        <w:rPr>
          <w:rFonts w:hint="eastAsia" w:ascii="仿宋" w:hAnsi="仿宋" w:eastAsia="仿宋" w:cs="仿宋"/>
          <w:b/>
          <w:bCs/>
          <w:i w:val="0"/>
          <w:iCs w:val="0"/>
          <w:sz w:val="32"/>
          <w:szCs w:val="32"/>
        </w:rPr>
        <w:t>初赛</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_Toc30315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5</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_Toc31591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2.3.</w:t>
      </w:r>
      <w:r>
        <w:rPr>
          <w:rFonts w:hint="eastAsia" w:ascii="仿宋" w:hAnsi="仿宋" w:eastAsia="仿宋" w:cs="仿宋"/>
          <w:b/>
          <w:bCs/>
          <w:i w:val="0"/>
          <w:iCs w:val="0"/>
          <w:sz w:val="32"/>
          <w:szCs w:val="32"/>
          <w:lang w:val="en-US" w:eastAsia="zh-CN"/>
        </w:rPr>
        <w:t>2</w:t>
      </w:r>
      <w:r>
        <w:rPr>
          <w:rFonts w:hint="eastAsia" w:ascii="仿宋" w:hAnsi="仿宋" w:eastAsia="仿宋" w:cs="仿宋"/>
          <w:b/>
          <w:bCs/>
          <w:i w:val="0"/>
          <w:iCs w:val="0"/>
          <w:sz w:val="32"/>
          <w:szCs w:val="32"/>
        </w:rPr>
        <w:t>全国总决赛</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_Toc31591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5</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_Toc21113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2.4赛程</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_Toc21113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6</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_Toc32482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2.5知识产权和作品所有权</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_Toc32482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6</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_Toc31158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kern w:val="44"/>
          <w:sz w:val="32"/>
          <w:szCs w:val="32"/>
        </w:rPr>
        <w:t>第三章 大赛参赛规则</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_Toc31158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8</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_Toc2622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kern w:val="44"/>
          <w:sz w:val="32"/>
          <w:szCs w:val="32"/>
        </w:rPr>
        <w:t>第四章 奖项设置与奖励办法</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_Toc2622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10</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_Toc4619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4.1奖项设置</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_Toc4619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10</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before="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_Toc22827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sz w:val="32"/>
          <w:szCs w:val="32"/>
        </w:rPr>
        <w:t>4.2奖励办法</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_Toc22827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10</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_Toc2085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kern w:val="44"/>
          <w:sz w:val="32"/>
          <w:szCs w:val="32"/>
        </w:rPr>
        <w:t>第五章 纪律与处罚</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_Toc2085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12</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zh-CN"/>
        </w:rPr>
        <w:fldChar w:fldCharType="begin"/>
      </w:r>
      <w:r>
        <w:rPr>
          <w:rFonts w:hint="eastAsia" w:ascii="仿宋" w:hAnsi="仿宋" w:eastAsia="仿宋" w:cs="仿宋"/>
          <w:b/>
          <w:bCs/>
          <w:i w:val="0"/>
          <w:iCs w:val="0"/>
          <w:sz w:val="32"/>
          <w:szCs w:val="32"/>
          <w:lang w:val="zh-CN"/>
        </w:rPr>
        <w:instrText xml:space="preserve"> HYPERLINK \l _Toc20054 </w:instrText>
      </w:r>
      <w:r>
        <w:rPr>
          <w:rFonts w:hint="eastAsia" w:ascii="仿宋" w:hAnsi="仿宋" w:eastAsia="仿宋" w:cs="仿宋"/>
          <w:b/>
          <w:bCs/>
          <w:i w:val="0"/>
          <w:iCs w:val="0"/>
          <w:sz w:val="32"/>
          <w:szCs w:val="32"/>
          <w:lang w:val="zh-CN"/>
        </w:rPr>
        <w:fldChar w:fldCharType="separate"/>
      </w:r>
      <w:r>
        <w:rPr>
          <w:rFonts w:hint="eastAsia" w:ascii="仿宋" w:hAnsi="仿宋" w:eastAsia="仿宋" w:cs="仿宋"/>
          <w:b/>
          <w:bCs/>
          <w:i w:val="0"/>
          <w:iCs w:val="0"/>
          <w:kern w:val="44"/>
          <w:sz w:val="32"/>
          <w:szCs w:val="32"/>
        </w:rPr>
        <w:t>第六章 承办组织机构与联系方式</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_Toc20054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13</w:t>
      </w:r>
      <w:r>
        <w:rPr>
          <w:rFonts w:hint="eastAsia" w:ascii="仿宋" w:hAnsi="仿宋" w:eastAsia="仿宋" w:cs="仿宋"/>
          <w:b/>
          <w:bCs/>
          <w:i w:val="0"/>
          <w:iCs w:val="0"/>
          <w:sz w:val="32"/>
          <w:szCs w:val="32"/>
        </w:rPr>
        <w:fldChar w:fldCharType="end"/>
      </w:r>
      <w:r>
        <w:rPr>
          <w:rFonts w:hint="eastAsia" w:ascii="仿宋" w:hAnsi="仿宋" w:eastAsia="仿宋" w:cs="仿宋"/>
          <w:b/>
          <w:bCs/>
          <w:i w:val="0"/>
          <w:iCs w:val="0"/>
          <w:sz w:val="32"/>
          <w:szCs w:val="32"/>
          <w:lang w:val="zh-CN"/>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lang w:val="en-US" w:eastAsia="zh-CN"/>
        </w:rPr>
        <w:t>附件1：创新计划书模板</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_Toc20054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13</w:t>
      </w:r>
      <w:r>
        <w:rPr>
          <w:rFonts w:hint="eastAsia" w:ascii="仿宋" w:hAnsi="仿宋" w:eastAsia="仿宋" w:cs="仿宋"/>
          <w:b/>
          <w:bCs/>
          <w:i w:val="0"/>
          <w:iCs w:val="0"/>
          <w:sz w:val="32"/>
          <w:szCs w:val="32"/>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before="0" w:after="0" w:line="480" w:lineRule="auto"/>
        <w:textAlignment w:val="auto"/>
        <w:rPr>
          <w:rFonts w:hint="default" w:eastAsia="仿宋"/>
          <w:lang w:val="en-US" w:eastAsia="zh-CN"/>
        </w:rPr>
      </w:pPr>
      <w:r>
        <w:rPr>
          <w:rFonts w:hint="eastAsia" w:ascii="仿宋" w:hAnsi="仿宋" w:eastAsia="仿宋" w:cs="仿宋"/>
          <w:b/>
          <w:bCs/>
          <w:i w:val="0"/>
          <w:iCs w:val="0"/>
          <w:sz w:val="32"/>
          <w:szCs w:val="32"/>
          <w:lang w:eastAsia="zh-CN"/>
        </w:rPr>
        <w:t>附件</w:t>
      </w:r>
      <w:r>
        <w:rPr>
          <w:rFonts w:hint="eastAsia" w:ascii="仿宋" w:hAnsi="仿宋" w:eastAsia="仿宋" w:cs="仿宋"/>
          <w:b/>
          <w:bCs/>
          <w:i w:val="0"/>
          <w:iCs w:val="0"/>
          <w:sz w:val="32"/>
          <w:szCs w:val="32"/>
          <w:lang w:val="en-US" w:eastAsia="zh-CN"/>
        </w:rPr>
        <w:t>2：</w:t>
      </w:r>
      <w:r>
        <w:rPr>
          <w:rFonts w:hint="eastAsia" w:ascii="仿宋" w:hAnsi="仿宋" w:eastAsia="仿宋" w:cs="仿宋"/>
          <w:b/>
          <w:bCs/>
          <w:i w:val="0"/>
          <w:iCs w:val="0"/>
          <w:kern w:val="2"/>
          <w:sz w:val="32"/>
          <w:szCs w:val="32"/>
          <w:lang w:val="en-US" w:eastAsia="zh-CN" w:bidi="ar-SA"/>
        </w:rPr>
        <w:t>赛题汇总</w:t>
      </w:r>
      <w:r>
        <w:rPr>
          <w:rFonts w:hint="eastAsia" w:ascii="仿宋" w:hAnsi="仿宋" w:eastAsia="仿宋" w:cs="仿宋"/>
          <w:b/>
          <w:bCs/>
          <w:i w:val="0"/>
          <w:iCs w:val="0"/>
          <w:sz w:val="32"/>
          <w:szCs w:val="32"/>
        </w:rPr>
        <w:tab/>
      </w:r>
      <w:r>
        <w:rPr>
          <w:rFonts w:hint="eastAsia" w:ascii="仿宋" w:hAnsi="仿宋" w:eastAsia="仿宋" w:cs="仿宋"/>
          <w:b/>
          <w:bCs/>
          <w:i w:val="0"/>
          <w:iCs w:val="0"/>
          <w:sz w:val="32"/>
          <w:szCs w:val="32"/>
        </w:rPr>
        <w:fldChar w:fldCharType="begin"/>
      </w:r>
      <w:r>
        <w:rPr>
          <w:rFonts w:hint="eastAsia" w:ascii="仿宋" w:hAnsi="仿宋" w:eastAsia="仿宋" w:cs="仿宋"/>
          <w:b/>
          <w:bCs/>
          <w:i w:val="0"/>
          <w:iCs w:val="0"/>
          <w:sz w:val="32"/>
          <w:szCs w:val="32"/>
        </w:rPr>
        <w:instrText xml:space="preserve"> PAGEREF _Toc20054 \h </w:instrText>
      </w:r>
      <w:r>
        <w:rPr>
          <w:rFonts w:hint="eastAsia" w:ascii="仿宋" w:hAnsi="仿宋" w:eastAsia="仿宋" w:cs="仿宋"/>
          <w:b/>
          <w:bCs/>
          <w:i w:val="0"/>
          <w:iCs w:val="0"/>
          <w:sz w:val="32"/>
          <w:szCs w:val="32"/>
        </w:rPr>
        <w:fldChar w:fldCharType="separate"/>
      </w:r>
      <w:r>
        <w:rPr>
          <w:rFonts w:hint="eastAsia" w:ascii="仿宋" w:hAnsi="仿宋" w:eastAsia="仿宋" w:cs="仿宋"/>
          <w:b/>
          <w:bCs/>
          <w:i w:val="0"/>
          <w:iCs w:val="0"/>
          <w:sz w:val="32"/>
          <w:szCs w:val="32"/>
        </w:rPr>
        <w:t>13</w:t>
      </w:r>
      <w:r>
        <w:rPr>
          <w:rFonts w:hint="eastAsia" w:ascii="仿宋" w:hAnsi="仿宋" w:eastAsia="仿宋" w:cs="仿宋"/>
          <w:b/>
          <w:bCs/>
          <w:i w:val="0"/>
          <w:iCs w:val="0"/>
          <w:sz w:val="32"/>
          <w:szCs w:val="32"/>
        </w:rPr>
        <w:fldChar w:fldCharType="end"/>
      </w:r>
    </w:p>
    <w:p>
      <w:pPr>
        <w:tabs>
          <w:tab w:val="right" w:leader="dot" w:pos="8290"/>
        </w:tabs>
        <w:spacing w:line="360" w:lineRule="auto"/>
        <w:rPr>
          <w:rFonts w:hint="eastAsia" w:ascii="仿宋" w:hAnsi="仿宋" w:eastAsia="仿宋" w:cs="仿宋"/>
          <w:b w:val="0"/>
          <w:bCs w:val="0"/>
          <w:i w:val="0"/>
          <w:iCs w:val="0"/>
          <w:sz w:val="32"/>
          <w:szCs w:val="32"/>
        </w:rPr>
      </w:pPr>
      <w:r>
        <w:rPr>
          <w:rFonts w:hint="eastAsia" w:ascii="仿宋" w:hAnsi="仿宋" w:eastAsia="仿宋" w:cs="仿宋"/>
          <w:b/>
          <w:bCs/>
          <w:i w:val="0"/>
          <w:iCs w:val="0"/>
          <w:sz w:val="32"/>
          <w:szCs w:val="32"/>
          <w:lang w:val="zh-CN"/>
        </w:rPr>
        <w:fldChar w:fldCharType="end"/>
      </w:r>
    </w:p>
    <w:bookmarkEnd w:id="1"/>
    <w:p>
      <w:pPr>
        <w:spacing w:before="156" w:beforeLines="50" w:line="360" w:lineRule="auto"/>
        <w:rPr>
          <w:rFonts w:ascii="仿宋" w:hAnsi="仿宋" w:eastAsia="仿宋" w:cs="仿宋"/>
          <w:bCs/>
          <w:kern w:val="44"/>
          <w:sz w:val="32"/>
          <w:szCs w:val="32"/>
        </w:rPr>
        <w:sectPr>
          <w:pgSz w:w="11906" w:h="16838"/>
          <w:pgMar w:top="1440" w:right="1800" w:bottom="1440" w:left="1800" w:header="851" w:footer="992" w:gutter="0"/>
          <w:pgNumType w:start="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ascii="仿宋" w:hAnsi="仿宋" w:eastAsia="仿宋" w:cs="仿宋"/>
          <w:b/>
          <w:kern w:val="44"/>
          <w:sz w:val="32"/>
          <w:szCs w:val="32"/>
        </w:rPr>
      </w:pPr>
      <w:bookmarkStart w:id="3" w:name="_Toc16770"/>
      <w:r>
        <w:rPr>
          <w:rFonts w:hint="eastAsia" w:ascii="仿宋" w:hAnsi="仿宋" w:eastAsia="仿宋" w:cs="仿宋"/>
          <w:b/>
          <w:kern w:val="44"/>
          <w:sz w:val="32"/>
          <w:szCs w:val="32"/>
        </w:rPr>
        <w:t>第一章 大赛简介</w:t>
      </w:r>
      <w:bookmarkEnd w:id="3"/>
    </w:p>
    <w:p>
      <w:pPr>
        <w:spacing w:line="360" w:lineRule="auto"/>
        <w:ind w:firstLine="640" w:firstLineChars="200"/>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中国研究生“双碳”创新与创意大赛以“创意启迪智慧、创新驱动发展”为理念，围绕“</w:t>
      </w:r>
      <w:r>
        <w:rPr>
          <w:rFonts w:hint="eastAsia" w:ascii="仿宋" w:hAnsi="仿宋" w:eastAsia="仿宋" w:cs="仿宋"/>
          <w:sz w:val="32"/>
          <w:szCs w:val="32"/>
        </w:rPr>
        <w:t>智慧双碳，创享未来</w:t>
      </w:r>
      <w:r>
        <w:rPr>
          <w:rFonts w:hint="eastAsia" w:ascii="仿宋" w:hAnsi="仿宋" w:eastAsia="仿宋" w:cs="仿宋"/>
          <w:color w:val="000000" w:themeColor="text1"/>
          <w:sz w:val="32"/>
          <w:szCs w:val="32"/>
          <w14:textFill>
            <w14:solidFill>
              <w14:schemeClr w14:val="tx1"/>
            </w14:solidFill>
          </w14:textFill>
        </w:rPr>
        <w:t>”主题，以激发研究生创新意识，提高研究生创新和实践能力，为国家、社会和企业培养创新型人才为宗旨而设立。2022年由清华大学深圳国际研究生</w:t>
      </w:r>
      <w:r>
        <w:rPr>
          <w:rFonts w:hint="eastAsia" w:ascii="仿宋" w:hAnsi="仿宋" w:eastAsia="仿宋" w:cs="仿宋"/>
          <w:color w:val="000000" w:themeColor="text1"/>
          <w:sz w:val="32"/>
          <w:szCs w:val="32"/>
          <w:highlight w:val="none"/>
          <w14:textFill>
            <w14:solidFill>
              <w14:schemeClr w14:val="tx1"/>
            </w14:solidFill>
          </w14:textFill>
        </w:rPr>
        <w:t>院承办第一届中国研究生“双碳”创新与创意大赛（以下简称“大赛”）。</w:t>
      </w:r>
      <w:r>
        <w:rPr>
          <w:rFonts w:ascii="仿宋" w:hAnsi="仿宋" w:eastAsia="仿宋" w:cs="仿宋"/>
          <w:color w:val="000000" w:themeColor="text1"/>
          <w:sz w:val="32"/>
          <w:szCs w:val="32"/>
          <w:highlight w:val="none"/>
          <w14:textFill>
            <w14:solidFill>
              <w14:schemeClr w14:val="tx1"/>
            </w14:solidFill>
          </w14:textFill>
        </w:rPr>
        <w:t>2023</w:t>
      </w:r>
      <w:r>
        <w:rPr>
          <w:rFonts w:hint="eastAsia" w:ascii="仿宋" w:hAnsi="仿宋" w:eastAsia="仿宋" w:cs="仿宋"/>
          <w:color w:val="000000" w:themeColor="text1"/>
          <w:sz w:val="32"/>
          <w:szCs w:val="32"/>
          <w:highlight w:val="none"/>
          <w14:textFill>
            <w14:solidFill>
              <w14:schemeClr w14:val="tx1"/>
            </w14:solidFill>
          </w14:textFill>
        </w:rPr>
        <w:t>年</w:t>
      </w:r>
      <w:r>
        <w:rPr>
          <w:rFonts w:hint="eastAsia" w:ascii="仿宋" w:hAnsi="仿宋" w:eastAsia="仿宋" w:cs="仿宋"/>
          <w:color w:val="000000" w:themeColor="text1"/>
          <w:sz w:val="32"/>
          <w:szCs w:val="32"/>
          <w:highlight w:val="none"/>
          <w:lang w:val="en-US" w:eastAsia="zh-CN"/>
          <w14:textFill>
            <w14:solidFill>
              <w14:schemeClr w14:val="tx1"/>
            </w14:solidFill>
          </w14:textFill>
        </w:rPr>
        <w:t>由</w:t>
      </w:r>
      <w:r>
        <w:rPr>
          <w:rFonts w:hint="eastAsia" w:ascii="仿宋" w:hAnsi="仿宋" w:eastAsia="仿宋" w:cs="仿宋"/>
          <w:color w:val="000000" w:themeColor="text1"/>
          <w:sz w:val="32"/>
          <w:szCs w:val="32"/>
          <w:highlight w:val="none"/>
          <w14:textFill>
            <w14:solidFill>
              <w14:schemeClr w14:val="tx1"/>
            </w14:solidFill>
          </w14:textFill>
        </w:rPr>
        <w:t>东北林业大学</w:t>
      </w:r>
      <w:r>
        <w:rPr>
          <w:rFonts w:hint="eastAsia" w:ascii="仿宋" w:hAnsi="仿宋" w:eastAsia="仿宋" w:cs="仿宋"/>
          <w:color w:val="000000" w:themeColor="text1"/>
          <w:sz w:val="32"/>
          <w:szCs w:val="32"/>
          <w:highlight w:val="none"/>
          <w:lang w:val="en-US" w:eastAsia="zh-CN"/>
          <w14:textFill>
            <w14:solidFill>
              <w14:schemeClr w14:val="tx1"/>
            </w14:solidFill>
          </w14:textFill>
        </w:rPr>
        <w:t>承办</w:t>
      </w:r>
      <w:r>
        <w:rPr>
          <w:rFonts w:hint="eastAsia" w:ascii="仿宋" w:hAnsi="仿宋" w:eastAsia="仿宋" w:cs="仿宋"/>
          <w:color w:val="000000" w:themeColor="text1"/>
          <w:sz w:val="32"/>
          <w:szCs w:val="32"/>
          <w:highlight w:val="none"/>
          <w14:textFill>
            <w14:solidFill>
              <w14:schemeClr w14:val="tx1"/>
            </w14:solidFill>
          </w14:textFill>
        </w:rPr>
        <w:t>第二届大赛。</w:t>
      </w:r>
    </w:p>
    <w:p>
      <w:pPr>
        <w:spacing w:line="360" w:lineRule="auto"/>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2021年3月，习近平总书记在中央财经委员会第九次会议上强调，实现碳达峰、碳中和是一场广泛而深</w:t>
      </w:r>
      <w:r>
        <w:rPr>
          <w:rFonts w:hint="eastAsia" w:ascii="仿宋" w:hAnsi="仿宋" w:eastAsia="仿宋" w:cs="仿宋"/>
          <w:color w:val="000000" w:themeColor="text1"/>
          <w:sz w:val="32"/>
          <w:szCs w:val="32"/>
          <w14:textFill>
            <w14:solidFill>
              <w14:schemeClr w14:val="tx1"/>
            </w14:solidFill>
          </w14:textFill>
        </w:rPr>
        <w:t>刻的经济社会系统性变革，要把碳达峰、碳中和纳入生态文明建设整体布局，如期实现2030年前碳达峰、2060年前碳中和的目标。“双碳”目标下，实现高效及绿色发展</w:t>
      </w:r>
      <w:r>
        <w:rPr>
          <w:rFonts w:hint="eastAsia" w:ascii="仿宋" w:hAnsi="仿宋" w:eastAsia="仿宋" w:cs="仿宋"/>
          <w:color w:val="000000" w:themeColor="text1"/>
          <w:sz w:val="32"/>
          <w:szCs w:val="32"/>
          <w:lang w:eastAsia="zh-CN"/>
          <w14:textFill>
            <w14:solidFill>
              <w14:schemeClr w14:val="tx1"/>
            </w14:solidFill>
          </w14:textFill>
        </w:rPr>
        <w:t>已成为亟须</w:t>
      </w:r>
      <w:r>
        <w:rPr>
          <w:rFonts w:hint="eastAsia" w:ascii="仿宋" w:hAnsi="仿宋" w:eastAsia="仿宋" w:cs="仿宋"/>
          <w:color w:val="000000" w:themeColor="text1"/>
          <w:sz w:val="32"/>
          <w:szCs w:val="32"/>
          <w14:textFill>
            <w14:solidFill>
              <w14:schemeClr w14:val="tx1"/>
            </w14:solidFill>
          </w14:textFill>
        </w:rPr>
        <w:t>攻破的社会课题，而科技创新对生态文明建设和促进双碳目标实现具有基础性战略性支撑作用。</w:t>
      </w:r>
    </w:p>
    <w:p>
      <w:pPr>
        <w:spacing w:line="360" w:lineRule="auto"/>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在此背景下，为进一步增强研究生对“双碳”战略理念的认识，提升研究生服务国家重大战略的自觉性，调动研究生参与双碳建设的积极性，提高碳达峰碳中和相关专业人才培养质量，加大高校与社会之间产学研的深度融合，从而让科研项目及团队的成果获得转化及孵化，助力实现“3060双碳”目标。</w:t>
      </w:r>
    </w:p>
    <w:p>
      <w:pPr>
        <w:spacing w:line="360" w:lineRule="auto"/>
        <w:ind w:firstLine="640" w:firstLineChars="200"/>
        <w:rPr>
          <w:rFonts w:ascii="仿宋" w:hAnsi="仿宋" w:eastAsia="仿宋" w:cs="仿宋"/>
          <w:color w:val="000000" w:themeColor="text1"/>
          <w:sz w:val="32"/>
          <w:szCs w:val="32"/>
          <w:highlight w:val="none"/>
          <w14:textFill>
            <w14:solidFill>
              <w14:schemeClr w14:val="tx1"/>
            </w14:solidFill>
          </w14:textFill>
        </w:rPr>
      </w:pPr>
      <w:r>
        <w:rPr>
          <w:rFonts w:ascii="仿宋" w:hAnsi="仿宋" w:eastAsia="仿宋" w:cs="仿宋"/>
          <w:color w:val="000000" w:themeColor="text1"/>
          <w:sz w:val="32"/>
          <w:szCs w:val="32"/>
          <w:highlight w:val="none"/>
          <w14:textFill>
            <w14:solidFill>
              <w14:schemeClr w14:val="tx1"/>
            </w14:solidFill>
          </w14:textFill>
        </w:rPr>
        <w:t>202</w:t>
      </w: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14:textFill>
            <w14:solidFill>
              <w14:schemeClr w14:val="tx1"/>
            </w14:solidFill>
          </w14:textFill>
        </w:rPr>
        <w:t>年第</w:t>
      </w:r>
      <w:r>
        <w:rPr>
          <w:rFonts w:hint="eastAsia" w:ascii="仿宋" w:hAnsi="仿宋" w:eastAsia="仿宋" w:cs="仿宋"/>
          <w:color w:val="000000" w:themeColor="text1"/>
          <w:sz w:val="32"/>
          <w:szCs w:val="32"/>
          <w:highlight w:val="none"/>
          <w:lang w:val="en-US" w:eastAsia="zh-CN"/>
          <w14:textFill>
            <w14:solidFill>
              <w14:schemeClr w14:val="tx1"/>
            </w14:solidFill>
          </w14:textFill>
        </w:rPr>
        <w:t>三</w:t>
      </w:r>
      <w:r>
        <w:rPr>
          <w:rFonts w:hint="eastAsia" w:ascii="仿宋" w:hAnsi="仿宋" w:eastAsia="仿宋" w:cs="仿宋"/>
          <w:color w:val="000000" w:themeColor="text1"/>
          <w:sz w:val="32"/>
          <w:szCs w:val="32"/>
          <w:highlight w:val="none"/>
          <w14:textFill>
            <w14:solidFill>
              <w14:schemeClr w14:val="tx1"/>
            </w14:solidFill>
          </w14:textFill>
        </w:rPr>
        <w:t>届中国研究生“双碳”创新与创意大赛由</w:t>
      </w:r>
      <w:r>
        <w:rPr>
          <w:rFonts w:hint="eastAsia" w:ascii="仿宋" w:hAnsi="仿宋" w:eastAsia="仿宋" w:cs="仿宋"/>
          <w:color w:val="000000" w:themeColor="text1"/>
          <w:sz w:val="32"/>
          <w:szCs w:val="32"/>
          <w:highlight w:val="none"/>
          <w:lang w:val="en-US" w:eastAsia="zh-CN"/>
          <w14:textFill>
            <w14:solidFill>
              <w14:schemeClr w14:val="tx1"/>
            </w14:solidFill>
          </w14:textFill>
        </w:rPr>
        <w:t>武汉理工大学</w:t>
      </w:r>
      <w:r>
        <w:rPr>
          <w:rFonts w:hint="eastAsia" w:ascii="仿宋" w:hAnsi="仿宋" w:eastAsia="仿宋" w:cs="仿宋"/>
          <w:color w:val="000000" w:themeColor="text1"/>
          <w:sz w:val="32"/>
          <w:szCs w:val="32"/>
          <w:highlight w:val="none"/>
          <w14:textFill>
            <w14:solidFill>
              <w14:schemeClr w14:val="tx1"/>
            </w14:solidFill>
          </w14:textFill>
        </w:rPr>
        <w:t>承办。</w:t>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hint="eastAsia" w:ascii="仿宋" w:hAnsi="仿宋" w:eastAsia="仿宋" w:cs="仿宋"/>
          <w:b/>
          <w:kern w:val="44"/>
          <w:sz w:val="32"/>
          <w:szCs w:val="32"/>
          <w:highlight w:val="none"/>
        </w:rPr>
      </w:pPr>
      <w:bookmarkStart w:id="4" w:name="_Toc30117"/>
      <w:bookmarkStart w:id="5" w:name="_Hlk135734070"/>
      <w:r>
        <w:rPr>
          <w:rFonts w:hint="eastAsia" w:ascii="仿宋" w:hAnsi="仿宋" w:eastAsia="仿宋" w:cs="仿宋"/>
          <w:b/>
          <w:kern w:val="44"/>
          <w:sz w:val="32"/>
          <w:szCs w:val="32"/>
          <w:highlight w:val="none"/>
        </w:rPr>
        <w:t>第二章 大赛内容</w:t>
      </w:r>
      <w:bookmarkEnd w:id="4"/>
    </w:p>
    <w:p>
      <w:pPr>
        <w:spacing w:before="156" w:beforeLines="50" w:line="360" w:lineRule="auto"/>
        <w:outlineLvl w:val="1"/>
        <w:rPr>
          <w:rFonts w:ascii="仿宋" w:hAnsi="仿宋" w:eastAsia="仿宋" w:cs="仿宋"/>
          <w:b/>
          <w:bCs/>
          <w:sz w:val="32"/>
          <w:szCs w:val="32"/>
          <w:highlight w:val="none"/>
        </w:rPr>
      </w:pPr>
      <w:bookmarkStart w:id="6" w:name="_Toc26212"/>
      <w:r>
        <w:rPr>
          <w:rFonts w:hint="eastAsia" w:ascii="仿宋" w:hAnsi="仿宋" w:eastAsia="仿宋" w:cs="仿宋"/>
          <w:b/>
          <w:bCs/>
          <w:sz w:val="32"/>
          <w:szCs w:val="32"/>
          <w:highlight w:val="none"/>
        </w:rPr>
        <w:t>2</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1赛题</w:t>
      </w:r>
      <w:bookmarkEnd w:id="6"/>
    </w:p>
    <w:p>
      <w:pPr>
        <w:spacing w:line="360" w:lineRule="auto"/>
        <w:ind w:firstLine="640" w:firstLineChars="200"/>
        <w:rPr>
          <w:rFonts w:ascii="仿宋" w:hAnsi="仿宋" w:eastAsia="仿宋" w:cs="仿宋"/>
          <w:color w:val="FF0000"/>
          <w:sz w:val="32"/>
          <w:szCs w:val="32"/>
          <w:highlight w:val="none"/>
        </w:rPr>
      </w:pPr>
      <w:r>
        <w:rPr>
          <w:rFonts w:hint="eastAsia" w:ascii="仿宋" w:hAnsi="仿宋" w:eastAsia="仿宋" w:cs="仿宋"/>
          <w:color w:val="000000" w:themeColor="text1"/>
          <w:sz w:val="32"/>
          <w:szCs w:val="32"/>
          <w:highlight w:val="none"/>
          <w14:textFill>
            <w14:solidFill>
              <w14:schemeClr w14:val="tx1"/>
            </w14:solidFill>
          </w14:textFill>
        </w:rPr>
        <w:t>大赛承办方围绕“智慧双碳，创享未来”主题设置赛题，参赛者需根据所学的相关知识和技术，结合双碳领域的痛点、难点问题，鼓励学生充分发挥创意、积极创新，就该赛题提出具有独创性、可行性、实用性的解决方案。</w:t>
      </w:r>
    </w:p>
    <w:p>
      <w:pPr>
        <w:spacing w:before="156" w:beforeLines="50" w:line="360" w:lineRule="auto"/>
        <w:outlineLvl w:val="1"/>
        <w:rPr>
          <w:rFonts w:ascii="仿宋" w:hAnsi="仿宋" w:eastAsia="仿宋" w:cs="仿宋"/>
          <w:b/>
          <w:bCs/>
          <w:sz w:val="32"/>
          <w:szCs w:val="32"/>
          <w:highlight w:val="none"/>
        </w:rPr>
      </w:pPr>
      <w:bookmarkStart w:id="7" w:name="_Toc15267"/>
      <w:r>
        <w:rPr>
          <w:rFonts w:hint="eastAsia" w:ascii="仿宋" w:hAnsi="仿宋" w:eastAsia="仿宋" w:cs="仿宋"/>
          <w:b/>
          <w:bCs/>
          <w:sz w:val="32"/>
          <w:szCs w:val="32"/>
          <w:highlight w:val="none"/>
        </w:rPr>
        <w:t>2</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2参赛</w:t>
      </w:r>
      <w:r>
        <w:rPr>
          <w:rFonts w:hint="eastAsia" w:ascii="仿宋" w:hAnsi="仿宋" w:eastAsia="仿宋" w:cs="仿宋"/>
          <w:b/>
          <w:bCs/>
          <w:sz w:val="32"/>
          <w:szCs w:val="32"/>
          <w:highlight w:val="none"/>
          <w:lang w:val="en-US" w:eastAsia="zh-CN"/>
        </w:rPr>
        <w:t>作品</w:t>
      </w:r>
      <w:r>
        <w:rPr>
          <w:rFonts w:hint="eastAsia" w:ascii="仿宋" w:hAnsi="仿宋" w:eastAsia="仿宋" w:cs="仿宋"/>
          <w:b/>
          <w:bCs/>
          <w:sz w:val="32"/>
          <w:szCs w:val="32"/>
          <w:highlight w:val="none"/>
        </w:rPr>
        <w:t>要求</w:t>
      </w:r>
      <w:bookmarkEnd w:id="7"/>
    </w:p>
    <w:p>
      <w:pPr>
        <w:spacing w:line="360" w:lineRule="auto"/>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参赛</w:t>
      </w:r>
      <w:r>
        <w:rPr>
          <w:rFonts w:hint="eastAsia" w:ascii="仿宋" w:hAnsi="仿宋" w:eastAsia="仿宋" w:cs="仿宋"/>
          <w:sz w:val="32"/>
          <w:szCs w:val="32"/>
          <w:highlight w:val="none"/>
          <w:lang w:val="en-US" w:eastAsia="zh-CN"/>
        </w:rPr>
        <w:t>作品</w:t>
      </w:r>
      <w:r>
        <w:rPr>
          <w:rFonts w:hint="eastAsia" w:ascii="仿宋" w:hAnsi="仿宋" w:eastAsia="仿宋" w:cs="仿宋"/>
          <w:sz w:val="32"/>
          <w:szCs w:val="32"/>
          <w:highlight w:val="none"/>
        </w:rPr>
        <w:t>须契合“</w:t>
      </w:r>
      <w:r>
        <w:rPr>
          <w:rFonts w:hint="eastAsia" w:ascii="仿宋" w:hAnsi="仿宋" w:eastAsia="仿宋" w:cs="仿宋"/>
          <w:color w:val="000000" w:themeColor="text1"/>
          <w:sz w:val="32"/>
          <w:szCs w:val="32"/>
          <w:highlight w:val="none"/>
          <w14:textFill>
            <w14:solidFill>
              <w14:schemeClr w14:val="tx1"/>
            </w14:solidFill>
          </w14:textFill>
        </w:rPr>
        <w:t>智慧双碳，创享未来</w:t>
      </w:r>
      <w:r>
        <w:rPr>
          <w:rFonts w:hint="eastAsia" w:ascii="仿宋" w:hAnsi="仿宋" w:eastAsia="仿宋" w:cs="仿宋"/>
          <w:sz w:val="32"/>
          <w:szCs w:val="32"/>
          <w:highlight w:val="none"/>
        </w:rPr>
        <w:t>”这一主题，围绕新能源、储能、低碳、节能减排、碳捕集、碳市场及计量体系等领域，以环境与新能源技术、新材料技术、电子信息技术、先进制造技术、海洋科学技术、生物医药技术、未来人居设计、社会创新设计等前沿技术与设计打造具有社会意义和产业价值的作品，挖掘具有前瞻性、先导性和探索性技术与产业相结合的创新项目。参赛项目根据选题可选择专家命题赛道或</w:t>
      </w:r>
      <w:r>
        <w:rPr>
          <w:rFonts w:hint="eastAsia" w:ascii="仿宋" w:hAnsi="仿宋" w:eastAsia="仿宋" w:cs="仿宋"/>
          <w:sz w:val="32"/>
          <w:szCs w:val="32"/>
          <w:highlight w:val="none"/>
          <w:lang w:eastAsia="zh-CN"/>
        </w:rPr>
        <w:t>企业</w:t>
      </w:r>
      <w:r>
        <w:rPr>
          <w:rFonts w:hint="eastAsia" w:ascii="仿宋" w:hAnsi="仿宋" w:eastAsia="仿宋" w:cs="仿宋"/>
          <w:sz w:val="32"/>
          <w:szCs w:val="32"/>
          <w:highlight w:val="none"/>
        </w:rPr>
        <w:t>赛道（另行发布）参赛。</w:t>
      </w:r>
    </w:p>
    <w:bookmarkEnd w:id="5"/>
    <w:p>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2"/>
        <w:rPr>
          <w:rFonts w:hint="eastAsia" w:ascii="仿宋" w:hAnsi="仿宋" w:eastAsia="仿宋" w:cs="仿宋"/>
          <w:b/>
          <w:bCs/>
          <w:sz w:val="32"/>
          <w:szCs w:val="32"/>
          <w:lang w:eastAsia="zh-CN"/>
        </w:rPr>
      </w:pPr>
      <w:bookmarkStart w:id="8" w:name="_Toc6309"/>
      <w:bookmarkStart w:id="9" w:name="_Toc12755"/>
      <w:r>
        <w:rPr>
          <w:rFonts w:hint="eastAsia" w:ascii="仿宋" w:hAnsi="仿宋" w:eastAsia="仿宋" w:cs="仿宋"/>
          <w:b/>
          <w:bCs/>
          <w:sz w:val="32"/>
          <w:szCs w:val="32"/>
        </w:rPr>
        <w:t>2</w:t>
      </w:r>
      <w:r>
        <w:rPr>
          <w:rFonts w:hint="eastAsia" w:ascii="仿宋" w:hAnsi="仿宋" w:eastAsia="仿宋" w:cs="仿宋"/>
          <w:b/>
          <w:bCs/>
          <w:sz w:val="32"/>
          <w:szCs w:val="32"/>
          <w:lang w:val="en-US" w:eastAsia="zh-CN"/>
        </w:rPr>
        <w:t>.</w:t>
      </w:r>
      <w:r>
        <w:rPr>
          <w:rFonts w:ascii="仿宋" w:hAnsi="仿宋" w:eastAsia="仿宋" w:cs="仿宋"/>
          <w:b/>
          <w:bCs/>
          <w:sz w:val="32"/>
          <w:szCs w:val="32"/>
        </w:rPr>
        <w:t>2</w:t>
      </w:r>
      <w:r>
        <w:rPr>
          <w:rFonts w:hint="eastAsia" w:ascii="仿宋" w:hAnsi="仿宋" w:eastAsia="仿宋" w:cs="仿宋"/>
          <w:b/>
          <w:bCs/>
          <w:sz w:val="32"/>
          <w:szCs w:val="32"/>
          <w:lang w:val="en-US" w:eastAsia="zh-CN"/>
        </w:rPr>
        <w:t>.</w:t>
      </w:r>
      <w:r>
        <w:rPr>
          <w:rFonts w:ascii="仿宋" w:hAnsi="仿宋" w:eastAsia="仿宋" w:cs="仿宋"/>
          <w:b/>
          <w:bCs/>
          <w:sz w:val="32"/>
          <w:szCs w:val="32"/>
        </w:rPr>
        <w:t>1</w:t>
      </w:r>
      <w:r>
        <w:rPr>
          <w:rFonts w:hint="eastAsia" w:ascii="仿宋" w:hAnsi="仿宋" w:eastAsia="仿宋" w:cs="仿宋"/>
          <w:b/>
          <w:bCs/>
          <w:sz w:val="32"/>
          <w:szCs w:val="32"/>
        </w:rPr>
        <w:t>专家命题赛道</w:t>
      </w:r>
      <w:bookmarkEnd w:id="8"/>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若有新增赛道、赛题，会及时发布于官网，敬请关注</w:t>
      </w:r>
      <w:r>
        <w:rPr>
          <w:rFonts w:hint="eastAsia" w:ascii="仿宋" w:hAnsi="仿宋" w:eastAsia="仿宋" w:cs="仿宋"/>
          <w:b/>
          <w:bCs/>
          <w:sz w:val="32"/>
          <w:szCs w:val="32"/>
          <w:lang w:eastAsia="zh-CN"/>
        </w:rPr>
        <w:t>）</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赛道一：双碳+环境与绿色科技</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命题1：水处理工艺的碳减排及能量回收技术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命题2：土壤固碳增汇与农田减污降碳协同增效绿色治理技术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命题3：工业领域减污降碳协同增效</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赛道二：双碳+新材料与新能源</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命题1：金属资源的回收及循环利用</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命题2：海洋油气资源开发耦合碳捕集封存创新技术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命题3：绿色氢能的高效低成本获取与利用技术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命题4：CO</w:t>
      </w:r>
      <w:r>
        <w:rPr>
          <w:rFonts w:hint="eastAsia" w:ascii="仿宋" w:hAnsi="仿宋" w:eastAsia="仿宋" w:cs="Times New Roman"/>
          <w:sz w:val="32"/>
          <w:szCs w:val="32"/>
          <w:vertAlign w:val="subscript"/>
        </w:rPr>
        <w:t>2</w:t>
      </w:r>
      <w:r>
        <w:rPr>
          <w:rFonts w:hint="eastAsia" w:ascii="仿宋" w:hAnsi="仿宋" w:eastAsia="仿宋" w:cs="Times New Roman"/>
          <w:sz w:val="32"/>
          <w:szCs w:val="32"/>
        </w:rPr>
        <w:t>价值循环利用之催化转化技术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命题5：基于减碳节能的光充储集成式电池设计</w:t>
      </w:r>
    </w:p>
    <w:p>
      <w:pPr>
        <w:spacing w:line="480" w:lineRule="auto"/>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rPr>
        <w:t>命题6：火力发电碳捕集能耗</w:t>
      </w:r>
      <w:r>
        <w:rPr>
          <w:rFonts w:hint="eastAsia" w:ascii="仿宋" w:hAnsi="仿宋" w:eastAsia="仿宋" w:cs="Times New Roman"/>
          <w:sz w:val="32"/>
          <w:szCs w:val="32"/>
          <w:lang w:val="en-US" w:eastAsia="zh-CN"/>
        </w:rPr>
        <w:t>分析</w:t>
      </w:r>
      <w:r>
        <w:rPr>
          <w:rFonts w:hint="eastAsia" w:ascii="仿宋" w:hAnsi="仿宋" w:eastAsia="仿宋" w:cs="Times New Roman"/>
          <w:sz w:val="32"/>
          <w:szCs w:val="32"/>
        </w:rPr>
        <w:t>与碳</w:t>
      </w:r>
      <w:r>
        <w:rPr>
          <w:rFonts w:hint="eastAsia" w:ascii="仿宋" w:hAnsi="仿宋" w:eastAsia="仿宋" w:cs="Times New Roman"/>
          <w:sz w:val="32"/>
          <w:szCs w:val="32"/>
          <w:lang w:eastAsia="zh-CN"/>
        </w:rPr>
        <w:t>泄露</w:t>
      </w:r>
      <w:r>
        <w:rPr>
          <w:rFonts w:hint="eastAsia" w:ascii="仿宋" w:hAnsi="仿宋" w:eastAsia="仿宋" w:cs="Times New Roman"/>
          <w:sz w:val="32"/>
          <w:szCs w:val="32"/>
          <w:lang w:val="en-US" w:eastAsia="zh-CN"/>
        </w:rPr>
        <w:t>检测</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赛道三：双碳+电子、信息与大数据</w:t>
      </w:r>
    </w:p>
    <w:p>
      <w:pPr>
        <w:spacing w:line="480" w:lineRule="auto"/>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rPr>
        <w:t>命题1：绿色低碳信息技术</w:t>
      </w:r>
      <w:r>
        <w:rPr>
          <w:rFonts w:hint="eastAsia" w:ascii="仿宋" w:hAnsi="仿宋" w:eastAsia="仿宋" w:cs="Times New Roman"/>
          <w:sz w:val="32"/>
          <w:szCs w:val="32"/>
          <w:lang w:val="en-US" w:eastAsia="zh-CN"/>
        </w:rPr>
        <w:t>及其应用</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命题2：绿色高效大规模预训练AI技术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命题3：提升5G基站功率放大器效率减少碳排放关键技术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命题4：多模式能量采集与管理技术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命题5：全球及地区碳排放、碳汇的计量监测应用及解决方案</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6</w:t>
      </w:r>
      <w:r>
        <w:rPr>
          <w:rFonts w:hint="eastAsia" w:ascii="仿宋" w:hAnsi="仿宋" w:eastAsia="仿宋" w:cs="Times New Roman"/>
          <w:sz w:val="32"/>
          <w:szCs w:val="32"/>
        </w:rPr>
        <w:t>：城镇低碳智慧供热（供冷）技术</w:t>
      </w:r>
    </w:p>
    <w:p>
      <w:pPr>
        <w:spacing w:line="480" w:lineRule="auto"/>
        <w:ind w:firstLine="643" w:firstLineChars="200"/>
        <w:rPr>
          <w:rFonts w:ascii="仿宋" w:hAnsi="仿宋" w:eastAsia="仿宋" w:cs="Times New Roman"/>
          <w:sz w:val="32"/>
          <w:szCs w:val="32"/>
        </w:rPr>
      </w:pPr>
      <w:r>
        <w:rPr>
          <w:rFonts w:hint="eastAsia" w:ascii="仿宋" w:hAnsi="仿宋" w:eastAsia="仿宋" w:cs="Times New Roman"/>
          <w:b/>
          <w:bCs/>
          <w:sz w:val="32"/>
          <w:szCs w:val="32"/>
        </w:rPr>
        <w:t>赛道四：双碳+设计与制造</w:t>
      </w:r>
      <w:r>
        <w:rPr>
          <w:rFonts w:hint="eastAsia" w:ascii="仿宋" w:hAnsi="仿宋" w:eastAsia="仿宋" w:cs="Times New Roman"/>
          <w:sz w:val="32"/>
          <w:szCs w:val="32"/>
        </w:rPr>
        <w:t xml:space="preserve"> </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命题1：绿色建筑、材料与智慧科技</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命题2：低碳制造及3</w:t>
      </w:r>
      <w:r>
        <w:rPr>
          <w:rFonts w:ascii="仿宋" w:hAnsi="仿宋" w:eastAsia="仿宋" w:cs="Times New Roman"/>
          <w:sz w:val="32"/>
          <w:szCs w:val="32"/>
        </w:rPr>
        <w:t>D</w:t>
      </w:r>
      <w:r>
        <w:rPr>
          <w:rFonts w:hint="eastAsia" w:ascii="仿宋" w:hAnsi="仿宋" w:eastAsia="仿宋" w:cs="Times New Roman"/>
          <w:sz w:val="32"/>
          <w:szCs w:val="32"/>
        </w:rPr>
        <w:t>打印</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命题3：构筑智能化产品设计制造生产线</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命题4：面向制冷系统节能低碳的新型装备设计与开发</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赛道五：双碳+低碳生活与生命健康</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命题1：超特大城市脱碳技术与路径选择</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命题2：城市低碳建筑（室内）能源数字化转型技术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命题3：面向双碳目标的纺织服装企业产业链联动及社会责任履行</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命题4：双碳战略与智能交通</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赛道六：双碳+政策、机制与体系创新</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1：</w:t>
      </w:r>
      <w:r>
        <w:rPr>
          <w:rFonts w:hint="eastAsia" w:ascii="仿宋" w:hAnsi="仿宋" w:eastAsia="仿宋" w:cs="Times New Roman"/>
          <w:sz w:val="32"/>
          <w:szCs w:val="32"/>
        </w:rPr>
        <w:t>生态产品价值实现</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2：碳金融</w:t>
      </w:r>
      <w:r>
        <w:rPr>
          <w:rFonts w:hint="eastAsia" w:ascii="仿宋" w:hAnsi="仿宋" w:eastAsia="仿宋" w:cs="Times New Roman"/>
          <w:sz w:val="32"/>
          <w:szCs w:val="32"/>
        </w:rPr>
        <w:t>与绿色发展、产业升级</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3：</w:t>
      </w:r>
      <w:r>
        <w:rPr>
          <w:rFonts w:hint="eastAsia" w:ascii="仿宋" w:hAnsi="仿宋" w:eastAsia="仿宋" w:cs="Times New Roman"/>
          <w:sz w:val="32"/>
          <w:szCs w:val="32"/>
        </w:rPr>
        <w:t>企业碳排放信息披露的治理机制创新</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4：</w:t>
      </w:r>
      <w:r>
        <w:rPr>
          <w:rFonts w:hint="eastAsia" w:ascii="仿宋" w:hAnsi="仿宋" w:eastAsia="仿宋" w:cs="Times New Roman"/>
          <w:sz w:val="32"/>
          <w:szCs w:val="32"/>
        </w:rPr>
        <w:t>未来碳市场与人类生产生活</w:t>
      </w:r>
    </w:p>
    <w:p>
      <w:pPr>
        <w:spacing w:line="480" w:lineRule="auto"/>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赛道七：双碳+</w:t>
      </w:r>
      <w:r>
        <w:rPr>
          <w:rFonts w:ascii="仿宋" w:hAnsi="仿宋" w:eastAsia="仿宋" w:cs="Times New Roman"/>
          <w:b/>
          <w:bCs/>
          <w:sz w:val="32"/>
          <w:szCs w:val="32"/>
        </w:rPr>
        <w:t>农业生产与环境</w:t>
      </w:r>
    </w:p>
    <w:p>
      <w:pPr>
        <w:spacing w:line="480" w:lineRule="auto"/>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rPr>
        <w:t>命题</w:t>
      </w:r>
      <w:r>
        <w:rPr>
          <w:rFonts w:ascii="仿宋" w:hAnsi="仿宋" w:eastAsia="仿宋" w:cs="Times New Roman"/>
          <w:sz w:val="32"/>
          <w:szCs w:val="32"/>
        </w:rPr>
        <w:t>1：</w:t>
      </w:r>
      <w:r>
        <w:rPr>
          <w:rFonts w:hint="eastAsia" w:ascii="仿宋" w:hAnsi="仿宋" w:eastAsia="仿宋" w:cs="Times New Roman"/>
          <w:sz w:val="32"/>
          <w:szCs w:val="32"/>
          <w:lang w:val="en-US" w:eastAsia="zh-CN"/>
        </w:rPr>
        <w:t>种植业绿色生产和</w:t>
      </w:r>
      <w:r>
        <w:rPr>
          <w:rFonts w:hint="eastAsia" w:ascii="仿宋" w:hAnsi="仿宋" w:eastAsia="仿宋" w:cs="Times New Roman"/>
          <w:sz w:val="32"/>
          <w:szCs w:val="32"/>
        </w:rPr>
        <w:t>农产品低碳</w:t>
      </w:r>
      <w:r>
        <w:rPr>
          <w:rFonts w:hint="eastAsia" w:ascii="仿宋" w:hAnsi="仿宋" w:eastAsia="仿宋" w:cs="Times New Roman"/>
          <w:sz w:val="32"/>
          <w:szCs w:val="32"/>
          <w:lang w:val="en-US" w:eastAsia="zh-CN"/>
        </w:rPr>
        <w:t>加工</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2：</w:t>
      </w:r>
      <w:r>
        <w:rPr>
          <w:rFonts w:hint="eastAsia" w:ascii="仿宋" w:hAnsi="仿宋" w:eastAsia="仿宋" w:cs="Times New Roman"/>
          <w:sz w:val="32"/>
          <w:szCs w:val="32"/>
        </w:rPr>
        <w:t>养殖业减排降碳与产品设计</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3：</w:t>
      </w:r>
      <w:r>
        <w:rPr>
          <w:rFonts w:hint="eastAsia" w:ascii="仿宋" w:hAnsi="仿宋" w:eastAsia="仿宋" w:cs="Times New Roman"/>
          <w:sz w:val="32"/>
          <w:szCs w:val="32"/>
        </w:rPr>
        <w:t>农业水土资源高效利用技术与治理方法</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4：</w:t>
      </w:r>
      <w:r>
        <w:rPr>
          <w:rFonts w:hint="eastAsia" w:ascii="仿宋" w:hAnsi="仿宋" w:eastAsia="仿宋" w:cs="Times New Roman"/>
          <w:sz w:val="32"/>
          <w:szCs w:val="32"/>
        </w:rPr>
        <w:t>农机节能减排与农业信息化技术</w:t>
      </w:r>
    </w:p>
    <w:p>
      <w:pPr>
        <w:spacing w:line="48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命题</w:t>
      </w:r>
      <w:r>
        <w:rPr>
          <w:rFonts w:ascii="仿宋" w:hAnsi="仿宋" w:eastAsia="仿宋" w:cs="Times New Roman"/>
          <w:sz w:val="32"/>
          <w:szCs w:val="32"/>
        </w:rPr>
        <w:t>5：</w:t>
      </w:r>
      <w:r>
        <w:rPr>
          <w:rFonts w:hint="eastAsia" w:ascii="仿宋" w:hAnsi="仿宋" w:eastAsia="仿宋" w:cs="Times New Roman"/>
          <w:sz w:val="32"/>
          <w:szCs w:val="32"/>
        </w:rPr>
        <w:t>农业减排固碳的支撑体系</w:t>
      </w:r>
    </w:p>
    <w:p>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2"/>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2.2</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2</w:t>
      </w:r>
      <w:bookmarkStart w:id="10" w:name="_Hlk137068055"/>
      <w:r>
        <w:rPr>
          <w:rFonts w:hint="eastAsia" w:ascii="仿宋" w:hAnsi="仿宋" w:eastAsia="仿宋" w:cs="仿宋"/>
          <w:b/>
          <w:bCs/>
          <w:sz w:val="32"/>
          <w:szCs w:val="32"/>
          <w:highlight w:val="none"/>
        </w:rPr>
        <w:t>企业命题赛道</w:t>
      </w:r>
      <w:bookmarkEnd w:id="9"/>
      <w:bookmarkEnd w:id="10"/>
    </w:p>
    <w:p>
      <w:pPr>
        <w:spacing w:line="480" w:lineRule="auto"/>
        <w:ind w:firstLine="640" w:firstLineChars="200"/>
        <w:rPr>
          <w:rFonts w:ascii="仿宋" w:hAnsi="仿宋" w:eastAsia="仿宋" w:cs="Times New Roman"/>
          <w:sz w:val="32"/>
          <w:szCs w:val="32"/>
          <w:highlight w:val="none"/>
        </w:rPr>
      </w:pPr>
      <w:r>
        <w:rPr>
          <w:rFonts w:hint="eastAsia" w:ascii="仿宋" w:hAnsi="仿宋" w:eastAsia="仿宋" w:cs="Times New Roman"/>
          <w:sz w:val="32"/>
          <w:szCs w:val="32"/>
          <w:highlight w:val="none"/>
        </w:rPr>
        <w:t>大赛将持续与相关</w:t>
      </w:r>
      <w:r>
        <w:rPr>
          <w:rFonts w:hint="eastAsia" w:ascii="仿宋" w:hAnsi="仿宋" w:eastAsia="仿宋" w:cs="Times New Roman"/>
          <w:sz w:val="32"/>
          <w:szCs w:val="32"/>
          <w:highlight w:val="none"/>
          <w:lang w:val="en-US" w:eastAsia="zh-CN"/>
        </w:rPr>
        <w:t>企业</w:t>
      </w:r>
      <w:r>
        <w:rPr>
          <w:rFonts w:hint="eastAsia" w:ascii="仿宋" w:hAnsi="仿宋" w:eastAsia="仿宋" w:cs="Times New Roman"/>
          <w:sz w:val="32"/>
          <w:szCs w:val="32"/>
          <w:highlight w:val="none"/>
        </w:rPr>
        <w:t>对接</w:t>
      </w:r>
      <w:r>
        <w:rPr>
          <w:rFonts w:hint="eastAsia" w:ascii="仿宋" w:hAnsi="仿宋" w:eastAsia="仿宋" w:cs="Times New Roman"/>
          <w:sz w:val="32"/>
          <w:szCs w:val="32"/>
          <w:highlight w:val="none"/>
          <w:lang w:eastAsia="zh-CN"/>
        </w:rPr>
        <w:t>，</w:t>
      </w:r>
      <w:r>
        <w:rPr>
          <w:rFonts w:hint="eastAsia" w:ascii="仿宋" w:hAnsi="仿宋" w:eastAsia="仿宋" w:cs="Times New Roman"/>
          <w:sz w:val="32"/>
          <w:szCs w:val="32"/>
          <w:highlight w:val="none"/>
        </w:rPr>
        <w:t>请感兴趣的参赛选手随时关注官网。</w:t>
      </w:r>
    </w:p>
    <w:p>
      <w:pPr>
        <w:spacing w:before="156" w:beforeLines="50" w:line="360" w:lineRule="auto"/>
        <w:outlineLvl w:val="1"/>
        <w:rPr>
          <w:rFonts w:ascii="仿宋" w:hAnsi="仿宋" w:eastAsia="仿宋" w:cs="仿宋"/>
          <w:b/>
          <w:bCs/>
          <w:sz w:val="32"/>
          <w:szCs w:val="32"/>
          <w:highlight w:val="none"/>
        </w:rPr>
      </w:pPr>
      <w:bookmarkStart w:id="11" w:name="_Toc16990"/>
      <w:r>
        <w:rPr>
          <w:rFonts w:hint="eastAsia" w:ascii="仿宋" w:hAnsi="仿宋" w:eastAsia="仿宋" w:cs="仿宋"/>
          <w:b/>
          <w:bCs/>
          <w:sz w:val="32"/>
          <w:szCs w:val="32"/>
          <w:highlight w:val="none"/>
        </w:rPr>
        <w:t>2</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3赛制</w:t>
      </w:r>
      <w:bookmarkEnd w:id="11"/>
    </w:p>
    <w:p>
      <w:pPr>
        <w:spacing w:line="360" w:lineRule="auto"/>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大赛的专家命题赛道分为初赛评审与全国总决赛两个阶段；企业赛道由命题企业</w:t>
      </w:r>
      <w:r>
        <w:rPr>
          <w:rFonts w:hint="eastAsia" w:ascii="仿宋" w:hAnsi="仿宋" w:eastAsia="仿宋" w:cs="仿宋"/>
          <w:sz w:val="32"/>
          <w:szCs w:val="32"/>
          <w:highlight w:val="none"/>
          <w:lang w:val="en-US" w:eastAsia="zh-CN"/>
        </w:rPr>
        <w:t>设置评审办法</w:t>
      </w:r>
      <w:r>
        <w:rPr>
          <w:rFonts w:hint="eastAsia" w:ascii="仿宋" w:hAnsi="仿宋" w:eastAsia="仿宋" w:cs="仿宋"/>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2"/>
        <w:rPr>
          <w:rFonts w:ascii="仿宋" w:hAnsi="仿宋" w:eastAsia="仿宋" w:cs="仿宋"/>
          <w:b/>
          <w:bCs/>
          <w:sz w:val="32"/>
          <w:szCs w:val="32"/>
          <w:highlight w:val="none"/>
        </w:rPr>
      </w:pPr>
      <w:bookmarkStart w:id="12" w:name="_Toc30315"/>
      <w:r>
        <w:rPr>
          <w:rFonts w:hint="eastAsia" w:ascii="仿宋" w:hAnsi="仿宋" w:eastAsia="仿宋" w:cs="仿宋"/>
          <w:b/>
          <w:bCs/>
          <w:sz w:val="32"/>
          <w:szCs w:val="32"/>
          <w:highlight w:val="none"/>
        </w:rPr>
        <w:t>2.3.</w:t>
      </w:r>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初赛</w:t>
      </w:r>
      <w:bookmarkEnd w:id="12"/>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初赛采用网上评选形式进行。参赛者通过大赛官方渠道提交参赛作品，评审专家将对全部提交成功的作品，从题目创新及实施的合理性、创造性、</w:t>
      </w:r>
      <w:r>
        <w:rPr>
          <w:rFonts w:hint="eastAsia" w:ascii="仿宋" w:hAnsi="仿宋" w:eastAsia="仿宋" w:cs="仿宋"/>
          <w:sz w:val="32"/>
          <w:szCs w:val="32"/>
          <w:highlight w:val="none"/>
          <w:lang w:val="en-US" w:eastAsia="zh-CN"/>
        </w:rPr>
        <w:t>应用价值、</w:t>
      </w:r>
      <w:r>
        <w:rPr>
          <w:rFonts w:hint="eastAsia" w:ascii="仿宋" w:hAnsi="仿宋" w:eastAsia="仿宋" w:cs="仿宋"/>
          <w:sz w:val="32"/>
          <w:szCs w:val="32"/>
          <w:highlight w:val="none"/>
        </w:rPr>
        <w:t>文字表述的规范性对参赛作品进行线上评审，最终按照综合得分排名评选出优胜作品晋级到</w:t>
      </w:r>
      <w:r>
        <w:rPr>
          <w:rFonts w:hint="eastAsia" w:ascii="仿宋" w:hAnsi="仿宋" w:eastAsia="仿宋" w:cs="仿宋"/>
          <w:sz w:val="32"/>
          <w:szCs w:val="32"/>
          <w:highlight w:val="none"/>
          <w:lang w:val="en-US" w:eastAsia="zh-CN"/>
        </w:rPr>
        <w:t>决赛</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企业</w:t>
      </w:r>
      <w:r>
        <w:rPr>
          <w:rFonts w:hint="eastAsia" w:ascii="仿宋" w:hAnsi="仿宋" w:eastAsia="仿宋" w:cs="仿宋"/>
          <w:sz w:val="32"/>
          <w:szCs w:val="32"/>
          <w:highlight w:val="none"/>
        </w:rPr>
        <w:t>赛道队伍</w:t>
      </w:r>
      <w:r>
        <w:rPr>
          <w:rFonts w:hint="eastAsia" w:ascii="仿宋" w:hAnsi="仿宋" w:eastAsia="仿宋" w:cs="仿宋"/>
          <w:sz w:val="32"/>
          <w:szCs w:val="32"/>
          <w:highlight w:val="none"/>
          <w:lang w:val="en-US" w:eastAsia="zh-CN"/>
        </w:rPr>
        <w:t>由企业自行组织评选</w:t>
      </w:r>
      <w:r>
        <w:rPr>
          <w:rFonts w:hint="eastAsia" w:ascii="仿宋" w:hAnsi="仿宋" w:eastAsia="仿宋" w:cs="仿宋"/>
          <w:sz w:val="32"/>
          <w:szCs w:val="32"/>
          <w:highlight w:val="none"/>
        </w:rPr>
        <w:t>。</w:t>
      </w:r>
    </w:p>
    <w:p>
      <w:pPr>
        <w:spacing w:line="360" w:lineRule="auto"/>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创新计划书是初赛评审的主要依据，包括但不限于</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背景</w:t>
      </w:r>
      <w:r>
        <w:rPr>
          <w:rFonts w:hint="eastAsia" w:ascii="仿宋" w:hAnsi="仿宋" w:eastAsia="仿宋" w:cs="仿宋"/>
          <w:sz w:val="32"/>
          <w:szCs w:val="32"/>
          <w:highlight w:val="none"/>
          <w:lang w:val="en-US" w:eastAsia="zh-CN"/>
        </w:rPr>
        <w:t>及意义</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技术路线</w:t>
      </w:r>
      <w:r>
        <w:rPr>
          <w:rFonts w:hint="eastAsia" w:ascii="仿宋" w:hAnsi="仿宋" w:eastAsia="仿宋" w:cs="仿宋"/>
          <w:sz w:val="32"/>
          <w:szCs w:val="32"/>
          <w:highlight w:val="none"/>
        </w:rPr>
        <w:t>、创新创意、</w:t>
      </w:r>
      <w:r>
        <w:rPr>
          <w:rFonts w:hint="eastAsia" w:ascii="仿宋" w:hAnsi="仿宋" w:eastAsia="仿宋" w:cs="仿宋"/>
          <w:sz w:val="32"/>
          <w:szCs w:val="32"/>
          <w:highlight w:val="none"/>
          <w:lang w:val="en-US" w:eastAsia="zh-CN"/>
        </w:rPr>
        <w:t>应用前景、对实现双碳目标的积极意义</w:t>
      </w:r>
      <w:r>
        <w:rPr>
          <w:rFonts w:hint="eastAsia" w:ascii="仿宋" w:hAnsi="仿宋" w:eastAsia="仿宋" w:cs="仿宋"/>
          <w:sz w:val="32"/>
          <w:szCs w:val="32"/>
          <w:highlight w:val="none"/>
        </w:rPr>
        <w:t>等内容。创新计划书需按模板和PDF形式（模板见附件1）进行提交，若未按要求提交，评审老师和组委会有权视为无效作品。其他支撑材料可作为附件提交。</w:t>
      </w:r>
    </w:p>
    <w:p>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2"/>
        <w:rPr>
          <w:rFonts w:ascii="仿宋" w:hAnsi="仿宋" w:eastAsia="仿宋" w:cs="仿宋"/>
          <w:b/>
          <w:bCs/>
          <w:sz w:val="32"/>
          <w:szCs w:val="32"/>
          <w:highlight w:val="none"/>
        </w:rPr>
      </w:pPr>
      <w:bookmarkStart w:id="13" w:name="_Toc31591"/>
      <w:r>
        <w:rPr>
          <w:rFonts w:hint="eastAsia" w:ascii="仿宋" w:hAnsi="仿宋" w:eastAsia="仿宋" w:cs="仿宋"/>
          <w:b/>
          <w:bCs/>
          <w:sz w:val="32"/>
          <w:szCs w:val="32"/>
          <w:highlight w:val="none"/>
        </w:rPr>
        <w:t>2.3.</w:t>
      </w: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全国总决赛</w:t>
      </w:r>
      <w:bookmarkEnd w:id="13"/>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highlight w:val="none"/>
          <w:lang w:eastAsia="zh-CN"/>
        </w:rPr>
        <w:t>专家命题赛道</w:t>
      </w:r>
      <w:r>
        <w:rPr>
          <w:rFonts w:hint="eastAsia" w:ascii="仿宋" w:hAnsi="仿宋" w:eastAsia="仿宋" w:cs="仿宋"/>
          <w:sz w:val="32"/>
          <w:szCs w:val="32"/>
          <w:highlight w:val="none"/>
        </w:rPr>
        <w:t>决赛</w:t>
      </w:r>
      <w:r>
        <w:rPr>
          <w:rFonts w:hint="eastAsia" w:ascii="仿宋" w:hAnsi="仿宋" w:eastAsia="仿宋" w:cs="仿宋"/>
          <w:sz w:val="32"/>
          <w:szCs w:val="32"/>
          <w:highlight w:val="none"/>
          <w:lang w:eastAsia="zh-CN"/>
        </w:rPr>
        <w:t>将</w:t>
      </w:r>
      <w:r>
        <w:rPr>
          <w:rFonts w:hint="eastAsia" w:ascii="仿宋" w:hAnsi="仿宋" w:eastAsia="仿宋" w:cs="仿宋"/>
          <w:sz w:val="32"/>
          <w:szCs w:val="32"/>
          <w:highlight w:val="none"/>
        </w:rPr>
        <w:t>在</w:t>
      </w:r>
      <w:r>
        <w:rPr>
          <w:rFonts w:hint="eastAsia" w:ascii="仿宋" w:hAnsi="仿宋" w:eastAsia="仿宋" w:cs="仿宋"/>
          <w:sz w:val="32"/>
          <w:szCs w:val="32"/>
          <w:highlight w:val="none"/>
          <w:lang w:eastAsia="zh-CN"/>
        </w:rPr>
        <w:t>武汉理工大学</w:t>
      </w:r>
      <w:r>
        <w:rPr>
          <w:rFonts w:hint="eastAsia" w:ascii="仿宋" w:hAnsi="仿宋" w:eastAsia="仿宋" w:cs="仿宋"/>
          <w:sz w:val="32"/>
          <w:szCs w:val="32"/>
          <w:highlight w:val="none"/>
        </w:rPr>
        <w:t>举行</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采用线下路演与答辩相结合的形式（根据情况进行具体安排）</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每个参赛队伍可在现场进</w:t>
      </w:r>
      <w:r>
        <w:rPr>
          <w:rFonts w:hint="eastAsia" w:ascii="仿宋" w:hAnsi="仿宋" w:eastAsia="仿宋" w:cs="仿宋"/>
          <w:sz w:val="32"/>
          <w:szCs w:val="32"/>
        </w:rPr>
        <w:t>行系统演示，包括但不限于使用PPT讲解方案、接受专家提问并答辩，专家从作品的独创性、应用前景和演示效果等角度对参赛作品打分，最终根据参赛作品综合得分确定获奖名次。</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企业赛道</w:t>
      </w:r>
      <w:r>
        <w:rPr>
          <w:rFonts w:hint="eastAsia" w:ascii="仿宋" w:hAnsi="仿宋" w:eastAsia="仿宋" w:cs="仿宋"/>
          <w:sz w:val="32"/>
          <w:szCs w:val="32"/>
          <w:highlight w:val="none"/>
          <w:lang w:eastAsia="zh-CN"/>
        </w:rPr>
        <w:t>决赛评比地点及方式由</w:t>
      </w:r>
      <w:r>
        <w:rPr>
          <w:rFonts w:hint="eastAsia" w:ascii="仿宋" w:hAnsi="仿宋" w:eastAsia="仿宋" w:cs="仿宋"/>
          <w:sz w:val="32"/>
          <w:szCs w:val="32"/>
          <w:highlight w:val="none"/>
        </w:rPr>
        <w:t>企业方提供</w:t>
      </w:r>
      <w:r>
        <w:rPr>
          <w:rFonts w:hint="eastAsia" w:ascii="仿宋" w:hAnsi="仿宋" w:eastAsia="仿宋" w:cs="仿宋"/>
          <w:sz w:val="32"/>
          <w:szCs w:val="32"/>
          <w:highlight w:val="none"/>
          <w:lang w:eastAsia="zh-CN"/>
        </w:rPr>
        <w:t>，企业专家</w:t>
      </w:r>
      <w:r>
        <w:rPr>
          <w:rFonts w:hint="eastAsia" w:ascii="仿宋" w:hAnsi="仿宋" w:eastAsia="仿宋" w:cs="仿宋"/>
          <w:sz w:val="32"/>
          <w:szCs w:val="32"/>
          <w:highlight w:val="none"/>
        </w:rPr>
        <w:t>直接评选出最优项目。</w:t>
      </w:r>
    </w:p>
    <w:p>
      <w:pPr>
        <w:spacing w:before="156" w:beforeLines="50" w:line="360" w:lineRule="auto"/>
        <w:outlineLvl w:val="1"/>
        <w:rPr>
          <w:rFonts w:ascii="仿宋" w:hAnsi="仿宋" w:eastAsia="仿宋" w:cs="仿宋"/>
          <w:b/>
          <w:bCs/>
          <w:sz w:val="32"/>
          <w:szCs w:val="32"/>
        </w:rPr>
      </w:pPr>
      <w:bookmarkStart w:id="14" w:name="_Toc21113"/>
      <w:r>
        <w:rPr>
          <w:rFonts w:hint="eastAsia" w:ascii="仿宋" w:hAnsi="仿宋" w:eastAsia="仿宋" w:cs="仿宋"/>
          <w:b/>
          <w:bCs/>
          <w:sz w:val="32"/>
          <w:szCs w:val="32"/>
        </w:rPr>
        <w:t>2.4赛程</w:t>
      </w:r>
      <w:bookmarkEnd w:id="14"/>
    </w:p>
    <w:tbl>
      <w:tblPr>
        <w:tblStyle w:val="19"/>
        <w:tblpPr w:leftFromText="180" w:rightFromText="180" w:vertAnchor="text" w:horzAnchor="page" w:tblpXSpec="center" w:tblpY="482"/>
        <w:tblOverlap w:val="neve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594"/>
        <w:gridCol w:w="3183"/>
        <w:gridCol w:w="2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522" w:type="dxa"/>
            <w:gridSpan w:val="4"/>
            <w:shd w:val="clear" w:color="auto" w:fill="DCE6F2"/>
            <w:noWrap w:val="0"/>
            <w:vAlign w:val="center"/>
          </w:tcPr>
          <w:p>
            <w:pPr>
              <w:spacing w:line="360" w:lineRule="auto"/>
              <w:jc w:val="center"/>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eastAsia="zh-CN" w:bidi="ar"/>
              </w:rPr>
              <w:t>专家赛道</w:t>
            </w:r>
            <w:r>
              <w:rPr>
                <w:rFonts w:hint="eastAsia" w:ascii="仿宋" w:hAnsi="仿宋" w:eastAsia="仿宋" w:cs="仿宋"/>
                <w:b/>
                <w:bCs/>
                <w:kern w:val="0"/>
                <w:sz w:val="32"/>
                <w:szCs w:val="32"/>
                <w:lang w:bidi="ar"/>
              </w:rPr>
              <w:t>赛程安排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2471" w:type="dxa"/>
            <w:gridSpan w:val="2"/>
            <w:noWrap w:val="0"/>
            <w:vAlign w:val="center"/>
          </w:tcPr>
          <w:p>
            <w:pPr>
              <w:spacing w:line="360" w:lineRule="auto"/>
              <w:jc w:val="center"/>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阶段</w:t>
            </w:r>
          </w:p>
        </w:tc>
        <w:tc>
          <w:tcPr>
            <w:tcW w:w="3183" w:type="dxa"/>
            <w:noWrap w:val="0"/>
            <w:vAlign w:val="center"/>
          </w:tcPr>
          <w:p>
            <w:pPr>
              <w:spacing w:line="360" w:lineRule="auto"/>
              <w:jc w:val="center"/>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时间</w:t>
            </w:r>
          </w:p>
        </w:tc>
        <w:tc>
          <w:tcPr>
            <w:tcW w:w="2868" w:type="dxa"/>
            <w:noWrap w:val="0"/>
            <w:vAlign w:val="center"/>
          </w:tcPr>
          <w:p>
            <w:pPr>
              <w:spacing w:line="360" w:lineRule="auto"/>
              <w:jc w:val="center"/>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77" w:type="dxa"/>
            <w:vMerge w:val="restart"/>
            <w:noWrap w:val="0"/>
            <w:vAlign w:val="center"/>
          </w:tcPr>
          <w:p>
            <w:pPr>
              <w:spacing w:line="360" w:lineRule="auto"/>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报名阶段</w:t>
            </w:r>
          </w:p>
        </w:tc>
        <w:tc>
          <w:tcPr>
            <w:tcW w:w="1594" w:type="dxa"/>
            <w:noWrap w:val="0"/>
            <w:vAlign w:val="center"/>
          </w:tcPr>
          <w:p>
            <w:pPr>
              <w:spacing w:line="360" w:lineRule="auto"/>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赛事发布</w:t>
            </w:r>
          </w:p>
        </w:tc>
        <w:tc>
          <w:tcPr>
            <w:tcW w:w="3183" w:type="dxa"/>
            <w:noWrap w:val="0"/>
            <w:vAlign w:val="center"/>
          </w:tcPr>
          <w:p>
            <w:pPr>
              <w:spacing w:line="360" w:lineRule="auto"/>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val="en-US" w:eastAsia="zh-CN" w:bidi="ar"/>
              </w:rPr>
              <w:t>6</w:t>
            </w:r>
            <w:r>
              <w:rPr>
                <w:rFonts w:hint="eastAsia" w:ascii="仿宋" w:hAnsi="仿宋" w:eastAsia="仿宋" w:cs="仿宋"/>
                <w:kern w:val="0"/>
                <w:sz w:val="32"/>
                <w:szCs w:val="32"/>
                <w:lang w:bidi="ar"/>
              </w:rPr>
              <w:t>月</w:t>
            </w:r>
            <w:r>
              <w:rPr>
                <w:rFonts w:hint="eastAsia" w:ascii="仿宋" w:hAnsi="仿宋" w:eastAsia="仿宋" w:cs="仿宋"/>
                <w:kern w:val="0"/>
                <w:sz w:val="32"/>
                <w:szCs w:val="32"/>
                <w:lang w:val="en-US" w:eastAsia="zh-CN" w:bidi="ar"/>
              </w:rPr>
              <w:t>3</w:t>
            </w:r>
            <w:r>
              <w:rPr>
                <w:rFonts w:hint="eastAsia" w:ascii="仿宋" w:hAnsi="仿宋" w:eastAsia="仿宋" w:cs="仿宋"/>
                <w:kern w:val="0"/>
                <w:sz w:val="32"/>
                <w:szCs w:val="32"/>
                <w:lang w:bidi="ar"/>
              </w:rPr>
              <w:t>日</w:t>
            </w:r>
          </w:p>
        </w:tc>
        <w:tc>
          <w:tcPr>
            <w:tcW w:w="2868" w:type="dxa"/>
            <w:noWrap w:val="0"/>
            <w:vAlign w:val="center"/>
          </w:tcPr>
          <w:p>
            <w:pPr>
              <w:spacing w:line="360" w:lineRule="auto"/>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公布大赛通知及命题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77" w:type="dxa"/>
            <w:vMerge w:val="continue"/>
            <w:noWrap w:val="0"/>
            <w:vAlign w:val="center"/>
          </w:tcPr>
          <w:p>
            <w:pPr>
              <w:spacing w:line="360" w:lineRule="auto"/>
              <w:jc w:val="center"/>
              <w:rPr>
                <w:rFonts w:hint="eastAsia" w:ascii="仿宋" w:hAnsi="仿宋" w:eastAsia="仿宋" w:cs="仿宋"/>
                <w:kern w:val="0"/>
                <w:sz w:val="32"/>
                <w:szCs w:val="32"/>
                <w:lang w:bidi="ar"/>
              </w:rPr>
            </w:pPr>
          </w:p>
        </w:tc>
        <w:tc>
          <w:tcPr>
            <w:tcW w:w="1594" w:type="dxa"/>
            <w:vMerge w:val="restart"/>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资格审核</w:t>
            </w:r>
          </w:p>
        </w:tc>
        <w:tc>
          <w:tcPr>
            <w:tcW w:w="3183" w:type="dxa"/>
            <w:noWrap w:val="0"/>
            <w:vAlign w:val="center"/>
          </w:tcPr>
          <w:p>
            <w:pPr>
              <w:spacing w:line="360" w:lineRule="auto"/>
              <w:jc w:val="center"/>
              <w:rPr>
                <w:rFonts w:hint="eastAsia" w:ascii="仿宋" w:hAnsi="仿宋" w:eastAsia="仿宋" w:cs="仿宋"/>
                <w:kern w:val="0"/>
                <w:sz w:val="32"/>
                <w:szCs w:val="32"/>
                <w:highlight w:val="none"/>
                <w:lang w:val="en-US" w:eastAsia="zh-CN" w:bidi="ar"/>
              </w:rPr>
            </w:pPr>
            <w:r>
              <w:rPr>
                <w:rFonts w:hint="eastAsia" w:ascii="仿宋" w:hAnsi="仿宋" w:eastAsia="仿宋" w:cs="仿宋"/>
                <w:kern w:val="0"/>
                <w:sz w:val="32"/>
                <w:szCs w:val="32"/>
                <w:highlight w:val="none"/>
                <w:lang w:val="en-US" w:eastAsia="zh-CN" w:bidi="ar"/>
              </w:rPr>
              <w:t>6</w:t>
            </w:r>
            <w:r>
              <w:rPr>
                <w:rFonts w:hint="eastAsia" w:ascii="仿宋" w:hAnsi="仿宋" w:eastAsia="仿宋" w:cs="仿宋"/>
                <w:kern w:val="0"/>
                <w:sz w:val="32"/>
                <w:szCs w:val="32"/>
                <w:highlight w:val="none"/>
                <w:lang w:bidi="ar"/>
              </w:rPr>
              <w:t>月</w:t>
            </w:r>
            <w:r>
              <w:rPr>
                <w:rFonts w:hint="eastAsia" w:ascii="仿宋" w:hAnsi="仿宋" w:eastAsia="仿宋" w:cs="仿宋"/>
                <w:kern w:val="0"/>
                <w:sz w:val="32"/>
                <w:szCs w:val="32"/>
                <w:highlight w:val="none"/>
                <w:lang w:val="en-US" w:eastAsia="zh-CN" w:bidi="ar"/>
              </w:rPr>
              <w:t>3</w:t>
            </w:r>
            <w:r>
              <w:rPr>
                <w:rFonts w:hint="eastAsia" w:ascii="仿宋" w:hAnsi="仿宋" w:eastAsia="仿宋" w:cs="仿宋"/>
                <w:kern w:val="0"/>
                <w:sz w:val="32"/>
                <w:szCs w:val="32"/>
                <w:highlight w:val="none"/>
                <w:lang w:bidi="ar"/>
              </w:rPr>
              <w:t>日-8月2</w:t>
            </w:r>
            <w:r>
              <w:rPr>
                <w:rFonts w:hint="eastAsia" w:ascii="仿宋" w:hAnsi="仿宋" w:eastAsia="仿宋" w:cs="仿宋"/>
                <w:kern w:val="0"/>
                <w:sz w:val="32"/>
                <w:szCs w:val="32"/>
                <w:highlight w:val="none"/>
                <w:lang w:val="en-US" w:eastAsia="zh-CN" w:bidi="ar"/>
              </w:rPr>
              <w:t>3</w:t>
            </w:r>
            <w:r>
              <w:rPr>
                <w:rFonts w:hint="eastAsia" w:ascii="仿宋" w:hAnsi="仿宋" w:eastAsia="仿宋" w:cs="仿宋"/>
                <w:kern w:val="0"/>
                <w:sz w:val="32"/>
                <w:szCs w:val="32"/>
                <w:highlight w:val="none"/>
                <w:lang w:bidi="ar"/>
              </w:rPr>
              <w:t>日</w:t>
            </w:r>
          </w:p>
        </w:tc>
        <w:tc>
          <w:tcPr>
            <w:tcW w:w="2868" w:type="dxa"/>
            <w:noWrap w:val="0"/>
            <w:vAlign w:val="center"/>
          </w:tcPr>
          <w:p>
            <w:pPr>
              <w:spacing w:line="360" w:lineRule="auto"/>
              <w:jc w:val="center"/>
              <w:rPr>
                <w:rFonts w:hint="eastAsia" w:ascii="仿宋" w:hAnsi="仿宋" w:eastAsia="仿宋" w:cs="仿宋"/>
                <w:kern w:val="0"/>
                <w:sz w:val="32"/>
                <w:szCs w:val="32"/>
                <w:highlight w:val="none"/>
                <w:lang w:eastAsia="zh-CN" w:bidi="ar"/>
              </w:rPr>
            </w:pPr>
            <w:r>
              <w:rPr>
                <w:rFonts w:hint="eastAsia" w:ascii="仿宋" w:hAnsi="仿宋" w:eastAsia="仿宋" w:cs="仿宋"/>
                <w:kern w:val="0"/>
                <w:sz w:val="32"/>
                <w:szCs w:val="32"/>
                <w:highlight w:val="none"/>
                <w:lang w:bidi="ar"/>
              </w:rPr>
              <w:t>注册报名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77" w:type="dxa"/>
            <w:vMerge w:val="continue"/>
            <w:noWrap w:val="0"/>
            <w:vAlign w:val="center"/>
          </w:tcPr>
          <w:p>
            <w:pPr>
              <w:spacing w:line="360" w:lineRule="auto"/>
              <w:jc w:val="center"/>
              <w:rPr>
                <w:rFonts w:hint="eastAsia" w:ascii="仿宋" w:hAnsi="仿宋" w:eastAsia="仿宋" w:cs="仿宋"/>
                <w:kern w:val="0"/>
                <w:sz w:val="32"/>
                <w:szCs w:val="32"/>
                <w:lang w:bidi="ar"/>
              </w:rPr>
            </w:pPr>
          </w:p>
        </w:tc>
        <w:tc>
          <w:tcPr>
            <w:tcW w:w="1594" w:type="dxa"/>
            <w:vMerge w:val="continue"/>
            <w:noWrap w:val="0"/>
            <w:vAlign w:val="center"/>
          </w:tcPr>
          <w:p>
            <w:pPr>
              <w:spacing w:line="360" w:lineRule="auto"/>
              <w:jc w:val="center"/>
              <w:rPr>
                <w:rFonts w:hint="eastAsia" w:ascii="仿宋" w:hAnsi="仿宋" w:eastAsia="仿宋" w:cs="仿宋"/>
                <w:kern w:val="0"/>
                <w:sz w:val="32"/>
                <w:szCs w:val="32"/>
                <w:highlight w:val="none"/>
                <w:lang w:bidi="ar"/>
              </w:rPr>
            </w:pPr>
          </w:p>
        </w:tc>
        <w:tc>
          <w:tcPr>
            <w:tcW w:w="3183"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val="en-US" w:eastAsia="zh-CN" w:bidi="ar"/>
              </w:rPr>
              <w:t>6</w:t>
            </w:r>
            <w:r>
              <w:rPr>
                <w:rFonts w:hint="eastAsia" w:ascii="仿宋" w:hAnsi="仿宋" w:eastAsia="仿宋" w:cs="仿宋"/>
                <w:kern w:val="0"/>
                <w:sz w:val="32"/>
                <w:szCs w:val="32"/>
                <w:highlight w:val="none"/>
                <w:lang w:bidi="ar"/>
              </w:rPr>
              <w:t>月</w:t>
            </w:r>
            <w:r>
              <w:rPr>
                <w:rFonts w:hint="eastAsia" w:ascii="仿宋" w:hAnsi="仿宋" w:eastAsia="仿宋" w:cs="仿宋"/>
                <w:kern w:val="0"/>
                <w:sz w:val="32"/>
                <w:szCs w:val="32"/>
                <w:highlight w:val="none"/>
                <w:lang w:val="en-US" w:eastAsia="zh-CN" w:bidi="ar"/>
              </w:rPr>
              <w:t>3</w:t>
            </w:r>
            <w:r>
              <w:rPr>
                <w:rFonts w:hint="eastAsia" w:ascii="仿宋" w:hAnsi="仿宋" w:eastAsia="仿宋" w:cs="仿宋"/>
                <w:kern w:val="0"/>
                <w:sz w:val="32"/>
                <w:szCs w:val="32"/>
                <w:highlight w:val="none"/>
                <w:lang w:bidi="ar"/>
              </w:rPr>
              <w:t>日-8月2</w:t>
            </w:r>
            <w:r>
              <w:rPr>
                <w:rFonts w:hint="eastAsia" w:ascii="仿宋" w:hAnsi="仿宋" w:eastAsia="仿宋" w:cs="仿宋"/>
                <w:kern w:val="0"/>
                <w:sz w:val="32"/>
                <w:szCs w:val="32"/>
                <w:highlight w:val="none"/>
                <w:lang w:val="en-US" w:eastAsia="zh-CN" w:bidi="ar"/>
              </w:rPr>
              <w:t>6</w:t>
            </w:r>
            <w:r>
              <w:rPr>
                <w:rFonts w:hint="eastAsia" w:ascii="仿宋" w:hAnsi="仿宋" w:eastAsia="仿宋" w:cs="仿宋"/>
                <w:kern w:val="0"/>
                <w:sz w:val="32"/>
                <w:szCs w:val="32"/>
                <w:highlight w:val="none"/>
                <w:lang w:bidi="ar"/>
              </w:rPr>
              <w:t>日</w:t>
            </w:r>
          </w:p>
        </w:tc>
        <w:tc>
          <w:tcPr>
            <w:tcW w:w="2868"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资格审核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77" w:type="dxa"/>
            <w:vMerge w:val="continue"/>
            <w:noWrap w:val="0"/>
            <w:vAlign w:val="center"/>
          </w:tcPr>
          <w:p>
            <w:pPr>
              <w:spacing w:line="360" w:lineRule="auto"/>
              <w:jc w:val="center"/>
              <w:rPr>
                <w:rFonts w:hint="eastAsia" w:ascii="仿宋" w:hAnsi="仿宋" w:eastAsia="仿宋" w:cs="仿宋"/>
                <w:kern w:val="0"/>
                <w:sz w:val="32"/>
                <w:szCs w:val="32"/>
                <w:lang w:bidi="ar"/>
              </w:rPr>
            </w:pPr>
          </w:p>
        </w:tc>
        <w:tc>
          <w:tcPr>
            <w:tcW w:w="1594"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作品提交</w:t>
            </w:r>
          </w:p>
        </w:tc>
        <w:tc>
          <w:tcPr>
            <w:tcW w:w="3183"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val="en-US" w:eastAsia="zh-CN" w:bidi="ar"/>
              </w:rPr>
              <w:t>6</w:t>
            </w:r>
            <w:r>
              <w:rPr>
                <w:rFonts w:hint="eastAsia" w:ascii="仿宋" w:hAnsi="仿宋" w:eastAsia="仿宋" w:cs="仿宋"/>
                <w:kern w:val="0"/>
                <w:sz w:val="32"/>
                <w:szCs w:val="32"/>
                <w:highlight w:val="none"/>
                <w:lang w:bidi="ar"/>
              </w:rPr>
              <w:t>月</w:t>
            </w:r>
            <w:r>
              <w:rPr>
                <w:rFonts w:hint="eastAsia" w:ascii="仿宋" w:hAnsi="仿宋" w:eastAsia="仿宋" w:cs="仿宋"/>
                <w:kern w:val="0"/>
                <w:sz w:val="32"/>
                <w:szCs w:val="32"/>
                <w:highlight w:val="none"/>
                <w:lang w:val="en-US" w:eastAsia="zh-CN" w:bidi="ar"/>
              </w:rPr>
              <w:t>3</w:t>
            </w:r>
            <w:r>
              <w:rPr>
                <w:rFonts w:hint="eastAsia" w:ascii="仿宋" w:hAnsi="仿宋" w:eastAsia="仿宋" w:cs="仿宋"/>
                <w:kern w:val="0"/>
                <w:sz w:val="32"/>
                <w:szCs w:val="32"/>
                <w:highlight w:val="none"/>
                <w:lang w:bidi="ar"/>
              </w:rPr>
              <w:t>日-8月</w:t>
            </w:r>
            <w:r>
              <w:rPr>
                <w:rFonts w:hint="eastAsia" w:ascii="仿宋" w:hAnsi="仿宋" w:eastAsia="仿宋" w:cs="仿宋"/>
                <w:kern w:val="0"/>
                <w:sz w:val="32"/>
                <w:szCs w:val="32"/>
                <w:highlight w:val="none"/>
                <w:lang w:val="en-US" w:eastAsia="zh-CN" w:bidi="ar"/>
              </w:rPr>
              <w:t>30</w:t>
            </w:r>
            <w:r>
              <w:rPr>
                <w:rFonts w:hint="eastAsia" w:ascii="仿宋" w:hAnsi="仿宋" w:eastAsia="仿宋" w:cs="仿宋"/>
                <w:kern w:val="0"/>
                <w:sz w:val="32"/>
                <w:szCs w:val="32"/>
                <w:highlight w:val="none"/>
                <w:lang w:bidi="ar"/>
              </w:rPr>
              <w:t>日</w:t>
            </w:r>
          </w:p>
        </w:tc>
        <w:tc>
          <w:tcPr>
            <w:tcW w:w="2868"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网上提交参赛作品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77" w:type="dxa"/>
            <w:vMerge w:val="restart"/>
            <w:noWrap w:val="0"/>
            <w:vAlign w:val="center"/>
          </w:tcPr>
          <w:p>
            <w:pPr>
              <w:spacing w:line="360" w:lineRule="auto"/>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比赛阶段</w:t>
            </w:r>
          </w:p>
        </w:tc>
        <w:tc>
          <w:tcPr>
            <w:tcW w:w="1594"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初赛</w:t>
            </w:r>
          </w:p>
        </w:tc>
        <w:tc>
          <w:tcPr>
            <w:tcW w:w="3183"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val="en-US" w:eastAsia="zh-CN" w:bidi="ar"/>
              </w:rPr>
              <w:t>8</w:t>
            </w:r>
            <w:r>
              <w:rPr>
                <w:rFonts w:hint="eastAsia" w:ascii="仿宋" w:hAnsi="仿宋" w:eastAsia="仿宋" w:cs="仿宋"/>
                <w:kern w:val="0"/>
                <w:sz w:val="32"/>
                <w:szCs w:val="32"/>
                <w:highlight w:val="none"/>
                <w:lang w:bidi="ar"/>
              </w:rPr>
              <w:t>月</w:t>
            </w:r>
            <w:r>
              <w:rPr>
                <w:rFonts w:hint="eastAsia" w:ascii="仿宋" w:hAnsi="仿宋" w:eastAsia="仿宋" w:cs="仿宋"/>
                <w:kern w:val="0"/>
                <w:sz w:val="32"/>
                <w:szCs w:val="32"/>
                <w:highlight w:val="none"/>
                <w:lang w:val="en-US" w:eastAsia="zh-CN" w:bidi="ar"/>
              </w:rPr>
              <w:t>31日</w:t>
            </w:r>
            <w:r>
              <w:rPr>
                <w:rFonts w:hint="eastAsia" w:ascii="仿宋" w:hAnsi="仿宋" w:eastAsia="仿宋" w:cs="仿宋"/>
                <w:kern w:val="0"/>
                <w:sz w:val="32"/>
                <w:szCs w:val="32"/>
                <w:highlight w:val="none"/>
                <w:lang w:bidi="ar"/>
              </w:rPr>
              <w:t>-</w:t>
            </w:r>
            <w:r>
              <w:rPr>
                <w:rFonts w:hint="eastAsia" w:ascii="仿宋" w:hAnsi="仿宋" w:eastAsia="仿宋" w:cs="仿宋"/>
                <w:kern w:val="0"/>
                <w:sz w:val="32"/>
                <w:szCs w:val="32"/>
                <w:highlight w:val="none"/>
                <w:lang w:val="en-US" w:eastAsia="zh-CN" w:bidi="ar"/>
              </w:rPr>
              <w:t>9月30</w:t>
            </w:r>
            <w:r>
              <w:rPr>
                <w:rFonts w:hint="eastAsia" w:ascii="仿宋" w:hAnsi="仿宋" w:eastAsia="仿宋" w:cs="仿宋"/>
                <w:kern w:val="0"/>
                <w:sz w:val="32"/>
                <w:szCs w:val="32"/>
                <w:highlight w:val="none"/>
                <w:lang w:bidi="ar"/>
              </w:rPr>
              <w:t>日</w:t>
            </w:r>
          </w:p>
        </w:tc>
        <w:tc>
          <w:tcPr>
            <w:tcW w:w="2868"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网上进行初赛评审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77" w:type="dxa"/>
            <w:vMerge w:val="continue"/>
            <w:noWrap w:val="0"/>
            <w:vAlign w:val="center"/>
          </w:tcPr>
          <w:p>
            <w:pPr>
              <w:spacing w:line="360" w:lineRule="auto"/>
              <w:jc w:val="center"/>
              <w:rPr>
                <w:rFonts w:hint="eastAsia" w:ascii="仿宋" w:hAnsi="仿宋" w:eastAsia="仿宋" w:cs="仿宋"/>
                <w:kern w:val="0"/>
                <w:sz w:val="32"/>
                <w:szCs w:val="32"/>
                <w:lang w:bidi="ar"/>
              </w:rPr>
            </w:pPr>
          </w:p>
        </w:tc>
        <w:tc>
          <w:tcPr>
            <w:tcW w:w="1594"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总决赛</w:t>
            </w:r>
          </w:p>
        </w:tc>
        <w:tc>
          <w:tcPr>
            <w:tcW w:w="3183"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10月19日-20日</w:t>
            </w:r>
          </w:p>
        </w:tc>
        <w:tc>
          <w:tcPr>
            <w:tcW w:w="2868" w:type="dxa"/>
            <w:noWrap w:val="0"/>
            <w:vAlign w:val="center"/>
          </w:tcPr>
          <w:p>
            <w:pPr>
              <w:spacing w:line="360" w:lineRule="auto"/>
              <w:jc w:val="center"/>
              <w:rPr>
                <w:rFonts w:hint="eastAsia" w:ascii="仿宋" w:hAnsi="仿宋" w:eastAsia="仿宋" w:cs="仿宋"/>
                <w:kern w:val="0"/>
                <w:sz w:val="32"/>
                <w:szCs w:val="32"/>
                <w:highlight w:val="none"/>
                <w:lang w:bidi="ar"/>
              </w:rPr>
            </w:pPr>
            <w:r>
              <w:rPr>
                <w:rFonts w:hint="eastAsia" w:ascii="仿宋" w:hAnsi="仿宋" w:eastAsia="仿宋" w:cs="仿宋"/>
                <w:kern w:val="0"/>
                <w:sz w:val="32"/>
                <w:szCs w:val="32"/>
                <w:highlight w:val="none"/>
                <w:lang w:bidi="ar"/>
              </w:rPr>
              <w:t>现场路演</w:t>
            </w:r>
          </w:p>
        </w:tc>
      </w:tr>
    </w:tbl>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rPr>
        <w:t>注册报名、资格审查和作品提交具体截止时间为当天23:59。时间如有</w:t>
      </w:r>
      <w:r>
        <w:rPr>
          <w:rFonts w:hint="eastAsia" w:ascii="仿宋" w:hAnsi="仿宋" w:eastAsia="仿宋" w:cs="仿宋"/>
          <w:sz w:val="32"/>
          <w:szCs w:val="32"/>
        </w:rPr>
        <w:t>调整，以大赛官网公布为准。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640" w:firstLineChars="200"/>
        <w:textAlignment w:val="auto"/>
        <w:rPr>
          <w:rFonts w:hint="eastAsia" w:ascii="Times New Roman" w:hAnsi="Times New Roman" w:eastAsia="仿宋" w:cs="Times New Roman"/>
          <w:sz w:val="32"/>
          <w:szCs w:val="32"/>
          <w:lang w:eastAsia="zh-CN"/>
        </w:rPr>
      </w:pPr>
      <w:r>
        <w:rPr>
          <w:rFonts w:hint="eastAsia" w:ascii="仿宋" w:hAnsi="仿宋" w:eastAsia="仿宋" w:cs="仿宋"/>
          <w:sz w:val="32"/>
          <w:szCs w:val="32"/>
          <w:lang w:eastAsia="zh-CN"/>
        </w:rPr>
        <w:t>企业赛道另行通知。</w:t>
      </w:r>
    </w:p>
    <w:p>
      <w:pPr>
        <w:spacing w:before="156" w:beforeLines="50" w:line="360" w:lineRule="auto"/>
        <w:outlineLvl w:val="1"/>
        <w:rPr>
          <w:rFonts w:ascii="仿宋" w:hAnsi="仿宋" w:eastAsia="仿宋" w:cs="仿宋"/>
          <w:b/>
          <w:bCs/>
          <w:sz w:val="32"/>
          <w:szCs w:val="32"/>
        </w:rPr>
      </w:pPr>
      <w:bookmarkStart w:id="15" w:name="_Toc32482"/>
      <w:r>
        <w:rPr>
          <w:rFonts w:hint="eastAsia" w:ascii="仿宋" w:hAnsi="仿宋" w:eastAsia="仿宋" w:cs="仿宋"/>
          <w:b/>
          <w:bCs/>
          <w:sz w:val="32"/>
          <w:szCs w:val="32"/>
        </w:rPr>
        <w:t>2.5知识产权和作品所有权</w:t>
      </w:r>
      <w:bookmarkEnd w:id="15"/>
    </w:p>
    <w:p>
      <w:pPr>
        <w:spacing w:line="360" w:lineRule="auto"/>
        <w:ind w:right="-62"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专家命题赛道：</w:t>
      </w:r>
      <w:r>
        <w:rPr>
          <w:rFonts w:hint="eastAsia" w:ascii="仿宋" w:hAnsi="仿宋" w:eastAsia="仿宋" w:cs="仿宋"/>
          <w:sz w:val="32"/>
          <w:szCs w:val="32"/>
        </w:rPr>
        <w:t>比赛期间参赛者所有的创意、方案及相关的知识产权均属于参赛者所有，组织方承诺履行保密义务，并不用于除本比赛外的任何其他用途。</w:t>
      </w:r>
    </w:p>
    <w:p>
      <w:pPr>
        <w:spacing w:line="360" w:lineRule="auto"/>
        <w:ind w:right="-62"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企业命题赛道：</w:t>
      </w:r>
      <w:r>
        <w:rPr>
          <w:rFonts w:hint="eastAsia" w:ascii="仿宋" w:hAnsi="仿宋" w:eastAsia="仿宋" w:cs="仿宋"/>
          <w:sz w:val="32"/>
          <w:szCs w:val="32"/>
          <w:highlight w:val="none"/>
        </w:rPr>
        <w:t>比赛期间参赛者所有的创意、方案及相关的知识产权均属于</w:t>
      </w:r>
      <w:r>
        <w:rPr>
          <w:rFonts w:hint="eastAsia" w:ascii="仿宋" w:hAnsi="仿宋" w:eastAsia="仿宋" w:cs="仿宋"/>
          <w:sz w:val="32"/>
          <w:szCs w:val="32"/>
          <w:highlight w:val="none"/>
          <w:lang w:val="en-US" w:eastAsia="zh-CN"/>
        </w:rPr>
        <w:t>企业和</w:t>
      </w:r>
      <w:r>
        <w:rPr>
          <w:rFonts w:hint="eastAsia" w:ascii="仿宋" w:hAnsi="仿宋" w:eastAsia="仿宋" w:cs="仿宋"/>
          <w:sz w:val="32"/>
          <w:szCs w:val="32"/>
          <w:highlight w:val="none"/>
        </w:rPr>
        <w:t>参赛者</w:t>
      </w:r>
      <w:r>
        <w:rPr>
          <w:rFonts w:hint="eastAsia" w:ascii="仿宋" w:hAnsi="仿宋" w:eastAsia="仿宋" w:cs="仿宋"/>
          <w:sz w:val="32"/>
          <w:szCs w:val="32"/>
          <w:highlight w:val="none"/>
          <w:lang w:val="en-US" w:eastAsia="zh-CN"/>
        </w:rPr>
        <w:t>共同</w:t>
      </w:r>
      <w:r>
        <w:rPr>
          <w:rFonts w:hint="eastAsia" w:ascii="仿宋" w:hAnsi="仿宋" w:eastAsia="仿宋" w:cs="仿宋"/>
          <w:sz w:val="32"/>
          <w:szCs w:val="32"/>
          <w:highlight w:val="none"/>
        </w:rPr>
        <w:t>所有。</w:t>
      </w:r>
    </w:p>
    <w:p>
      <w:pPr>
        <w:spacing w:line="360" w:lineRule="auto"/>
        <w:ind w:right="-62" w:firstLine="640" w:firstLineChars="200"/>
        <w:rPr>
          <w:rFonts w:ascii="仿宋" w:hAnsi="仿宋" w:eastAsia="仿宋" w:cs="仿宋"/>
          <w:sz w:val="32"/>
          <w:szCs w:val="32"/>
        </w:rPr>
      </w:pPr>
      <w:r>
        <w:rPr>
          <w:rFonts w:hint="eastAsia" w:ascii="仿宋" w:hAnsi="仿宋" w:eastAsia="仿宋" w:cs="仿宋"/>
          <w:sz w:val="32"/>
          <w:szCs w:val="32"/>
        </w:rPr>
        <w:t>参赛者应保证所提供的创意、方案和相关材料属于自有知识产权。参赛作品不得侵犯任何第三方知识产权或者其他权利。一经发现或经权利人提出并查证，大赛组织方将取消其参赛资格。组织方对参赛者因使用其提供/完成的创意、方案和相关材料而产生的任何实际侵权或者被任何第三方指控侵权概不负责。</w:t>
      </w:r>
    </w:p>
    <w:p>
      <w:pPr>
        <w:spacing w:line="360" w:lineRule="auto"/>
        <w:ind w:right="-62" w:firstLine="640" w:firstLineChars="200"/>
        <w:rPr>
          <w:rFonts w:ascii="仿宋" w:hAnsi="仿宋" w:eastAsia="仿宋" w:cs="仿宋"/>
          <w:sz w:val="32"/>
          <w:szCs w:val="32"/>
        </w:rPr>
      </w:pPr>
      <w:r>
        <w:rPr>
          <w:rFonts w:hint="eastAsia" w:ascii="仿宋" w:hAnsi="仿宋" w:eastAsia="仿宋" w:cs="仿宋"/>
          <w:sz w:val="32"/>
          <w:szCs w:val="32"/>
        </w:rPr>
        <w:t>组织方拥有对参赛作品组织投资对接和产品孵化服务的优先权利。组织方有权将参赛者提交的参赛作品、相关信息、参赛团队信息用于宣传品、相关出版物、指定及授权媒体发布、官方网站浏览及下载、展览（含巡展）等活动项目。组织方在征得参赛团队负责人和指导教师同意后，可将参赛作品及相关信息供大赛合作方有限查询。</w:t>
      </w:r>
    </w:p>
    <w:p>
      <w:pPr>
        <w:spacing w:line="360" w:lineRule="auto"/>
        <w:rPr>
          <w:rFonts w:ascii="仿宋" w:hAnsi="仿宋" w:eastAsia="仿宋" w:cs="仿宋"/>
          <w:sz w:val="32"/>
          <w:szCs w:val="32"/>
        </w:rPr>
      </w:pPr>
      <w:r>
        <w:rPr>
          <w:rFonts w:hint="eastAsia" w:ascii="仿宋" w:hAnsi="仿宋" w:eastAsia="仿宋" w:cs="仿宋"/>
          <w:sz w:val="32"/>
          <w:szCs w:val="32"/>
        </w:rPr>
        <w:br w:type="page"/>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hint="eastAsia" w:ascii="仿宋" w:hAnsi="仿宋" w:eastAsia="仿宋" w:cs="仿宋"/>
          <w:b/>
          <w:kern w:val="44"/>
          <w:sz w:val="32"/>
          <w:szCs w:val="32"/>
        </w:rPr>
      </w:pPr>
      <w:bookmarkStart w:id="16" w:name="_Toc31158"/>
      <w:r>
        <w:rPr>
          <w:rFonts w:hint="eastAsia" w:ascii="仿宋" w:hAnsi="仿宋" w:eastAsia="仿宋" w:cs="仿宋"/>
          <w:b/>
          <w:kern w:val="44"/>
          <w:sz w:val="32"/>
          <w:szCs w:val="32"/>
        </w:rPr>
        <w:t>第三章 大赛参赛规则</w:t>
      </w:r>
      <w:bookmarkEnd w:id="16"/>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rPr>
        <w:t>参赛选手需点击中国研究生创</w:t>
      </w:r>
      <w:r>
        <w:rPr>
          <w:rFonts w:hint="eastAsia" w:ascii="仿宋" w:hAnsi="仿宋" w:eastAsia="仿宋" w:cs="仿宋"/>
          <w:sz w:val="32"/>
          <w:szCs w:val="32"/>
          <w:highlight w:val="none"/>
        </w:rPr>
        <w:t>新实践系列大赛官方网站报名参赛，中国研究生创新实践系列大赛报名官方网站：https://cpipc.acge.org.cn/</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报名要求：</w:t>
      </w:r>
    </w:p>
    <w:p>
      <w:pPr>
        <w:widowControl/>
        <w:numPr>
          <w:ilvl w:val="0"/>
          <w:numId w:val="1"/>
        </w:numPr>
        <w:spacing w:line="360" w:lineRule="auto"/>
        <w:ind w:left="780" w:hanging="497"/>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参赛资格：</w:t>
      </w:r>
      <w:r>
        <w:rPr>
          <w:rFonts w:hint="eastAsia" w:ascii="仿宋" w:hAnsi="仿宋" w:eastAsia="仿宋" w:cs="仿宋"/>
          <w:sz w:val="32"/>
          <w:szCs w:val="32"/>
          <w:highlight w:val="none"/>
        </w:rPr>
        <w:t>中国内地（大陆）、港澳台地区在读研究生（硕士生和博士生）、已获得研究生攻读资格的大四本科生（需提供研究生录取证明）和经推荐的海外院校研究生均可参赛</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参赛选手所在单位负责审核，确认报名参赛资格；</w:t>
      </w:r>
    </w:p>
    <w:p>
      <w:pPr>
        <w:widowControl/>
        <w:numPr>
          <w:ilvl w:val="0"/>
          <w:numId w:val="1"/>
        </w:numPr>
        <w:spacing w:line="360" w:lineRule="auto"/>
        <w:ind w:left="780" w:hanging="497"/>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队伍要求：</w:t>
      </w:r>
      <w:r>
        <w:rPr>
          <w:rFonts w:hint="eastAsia" w:ascii="仿宋" w:hAnsi="仿宋" w:eastAsia="仿宋" w:cs="仿宋"/>
          <w:sz w:val="32"/>
          <w:szCs w:val="32"/>
          <w:highlight w:val="none"/>
        </w:rPr>
        <w:t>参赛选手须以组队方式参赛，每队人数为3</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6人，专业不限</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参赛队伍中若有本科生参加，须由研究生作为队长注册</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且本科生比例不高于50%</w:t>
      </w:r>
      <w:r>
        <w:rPr>
          <w:rFonts w:hint="eastAsia" w:ascii="仿宋" w:hAnsi="仿宋" w:eastAsia="仿宋" w:cs="仿宋"/>
          <w:sz w:val="32"/>
          <w:szCs w:val="32"/>
          <w:highlight w:val="none"/>
          <w:lang w:eastAsia="zh-CN"/>
        </w:rPr>
        <w:t>；同一名学生仅可报名参加1支队伍，允许跨校、跨单位组队参赛，以队长所在培养单位作为队伍的参赛单位；每支队伍可配备1-2名指导教师，指导教师须为参赛队伍所属培养单位的正式教师，每位指导教师指导参赛队伍不超过3支；</w:t>
      </w:r>
    </w:p>
    <w:p>
      <w:pPr>
        <w:widowControl/>
        <w:numPr>
          <w:ilvl w:val="0"/>
          <w:numId w:val="1"/>
        </w:numPr>
        <w:spacing w:line="360" w:lineRule="auto"/>
        <w:ind w:left="780" w:hanging="497"/>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作品要求：同一作品不可同时参加专家命题赛道和企业命题赛道；</w:t>
      </w:r>
      <w:r>
        <w:rPr>
          <w:rFonts w:hint="eastAsia" w:ascii="仿宋" w:hAnsi="仿宋" w:eastAsia="仿宋" w:cs="仿宋"/>
          <w:sz w:val="32"/>
          <w:szCs w:val="32"/>
          <w:highlight w:val="none"/>
          <w:lang w:eastAsia="zh-CN"/>
        </w:rPr>
        <w:t>参赛队伍/队员曾在往届“双碳”创新与创意大赛中获得过二等奖及以上奖项的，需在作品文件中说明参赛作品与获奖作品相比较的新进展和新成果；提交的作品材料中不得体现学校、学院或导师等影响比赛公平的信息；</w:t>
      </w:r>
    </w:p>
    <w:p>
      <w:pPr>
        <w:widowControl/>
        <w:numPr>
          <w:ilvl w:val="0"/>
          <w:numId w:val="1"/>
        </w:numPr>
        <w:spacing w:line="360" w:lineRule="auto"/>
        <w:ind w:left="780" w:hanging="497"/>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注意事项：</w:t>
      </w:r>
      <w:r>
        <w:rPr>
          <w:rFonts w:hint="eastAsia" w:ascii="仿宋" w:hAnsi="仿宋" w:eastAsia="仿宋" w:cs="仿宋"/>
          <w:sz w:val="32"/>
          <w:szCs w:val="32"/>
          <w:highlight w:val="none"/>
        </w:rPr>
        <w:t>大赛规定的报名截止时间后不能对报名信息进行调整或更改、项目提交截止时间后不能对作品进行调整或更改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大赛期间报名及其他材料的提交均采用线上方式进行，大赛使用语言为中文和英文，所有提交至官网的报名材料须使用中文（简体），如需提供英文材料请提前联系承办方，经确认后，另行提交。</w:t>
      </w:r>
    </w:p>
    <w:p>
      <w:pPr>
        <w:spacing w:line="360" w:lineRule="auto"/>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知识产权：参赛作品（包含但不限于方案、作品等）知识产权归参赛者所有。</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公平竞技：参赛者禁止在指定考核技术能力的范围外，利用规则漏洞或技术漏洞等不良途径提高成绩，禁止在比赛中抄袭他人成果，一经发现将取消</w:t>
      </w:r>
      <w:r>
        <w:rPr>
          <w:rFonts w:hint="eastAsia" w:ascii="仿宋" w:hAnsi="仿宋" w:eastAsia="仿宋" w:cs="仿宋"/>
          <w:sz w:val="32"/>
          <w:szCs w:val="32"/>
        </w:rPr>
        <w:t>比赛成绩并严肃处理。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组织声明：组委会保留对比赛规则进行调整修改的权利、比赛作弊行为的判定权利和处置权利、收回或拒绝授予影响组织及公平性的参赛者奖项的权利。</w:t>
      </w:r>
    </w:p>
    <w:p>
      <w:pPr>
        <w:spacing w:line="360" w:lineRule="auto"/>
        <w:rPr>
          <w:rFonts w:ascii="仿宋" w:hAnsi="仿宋" w:eastAsia="仿宋" w:cs="仿宋"/>
          <w:sz w:val="32"/>
          <w:szCs w:val="32"/>
        </w:rPr>
      </w:pPr>
      <w:r>
        <w:rPr>
          <w:rFonts w:hint="eastAsia" w:ascii="仿宋" w:hAnsi="仿宋" w:eastAsia="仿宋" w:cs="仿宋"/>
          <w:sz w:val="32"/>
          <w:szCs w:val="32"/>
        </w:rPr>
        <w:br w:type="page"/>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hint="eastAsia" w:ascii="仿宋" w:hAnsi="仿宋" w:eastAsia="仿宋" w:cs="仿宋"/>
          <w:b/>
          <w:kern w:val="44"/>
          <w:sz w:val="32"/>
          <w:szCs w:val="32"/>
        </w:rPr>
      </w:pPr>
      <w:bookmarkStart w:id="17" w:name="_Toc2622"/>
      <w:r>
        <w:rPr>
          <w:rFonts w:hint="eastAsia" w:ascii="仿宋" w:hAnsi="仿宋" w:eastAsia="仿宋" w:cs="仿宋"/>
          <w:b/>
          <w:kern w:val="44"/>
          <w:sz w:val="32"/>
          <w:szCs w:val="32"/>
        </w:rPr>
        <w:t>第四章 奖项设置与奖励办法</w:t>
      </w:r>
      <w:bookmarkEnd w:id="17"/>
    </w:p>
    <w:p>
      <w:pPr>
        <w:spacing w:before="156" w:beforeLines="50" w:line="360" w:lineRule="auto"/>
        <w:outlineLvl w:val="1"/>
        <w:rPr>
          <w:rFonts w:ascii="仿宋" w:hAnsi="仿宋" w:eastAsia="仿宋" w:cs="仿宋"/>
          <w:b/>
          <w:bCs/>
          <w:sz w:val="32"/>
          <w:szCs w:val="32"/>
        </w:rPr>
      </w:pPr>
      <w:bookmarkStart w:id="18" w:name="_Toc4619"/>
      <w:r>
        <w:rPr>
          <w:rFonts w:ascii="仿宋" w:hAnsi="仿宋" w:eastAsia="仿宋" w:cs="仿宋"/>
          <w:b/>
          <w:bCs/>
          <w:sz w:val="32"/>
          <w:szCs w:val="32"/>
        </w:rPr>
        <w:t>4</w:t>
      </w:r>
      <w:r>
        <w:rPr>
          <w:rFonts w:hint="eastAsia" w:ascii="仿宋" w:hAnsi="仿宋" w:eastAsia="仿宋" w:cs="仿宋"/>
          <w:b/>
          <w:bCs/>
          <w:sz w:val="32"/>
          <w:szCs w:val="32"/>
        </w:rPr>
        <w:t>.1奖项设置</w:t>
      </w:r>
      <w:bookmarkEnd w:id="18"/>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rPr>
        <w:t>大赛专家命题</w:t>
      </w:r>
      <w:r>
        <w:rPr>
          <w:rFonts w:hint="eastAsia" w:ascii="仿宋" w:hAnsi="仿宋" w:eastAsia="仿宋" w:cs="仿宋"/>
          <w:sz w:val="32"/>
          <w:szCs w:val="32"/>
          <w:highlight w:val="none"/>
        </w:rPr>
        <w:t>赛道奖项设置：大赛专家命题赛道获奖比例不超过20%，其中，一等奖（前三名为冠亚季军）比例不超过2%，二等奖比例不超过6%。成功提交作品的参赛队伍，按照各赛道参赛队伍初赛评审成绩的前10%进入决赛，其他初赛前20%以内参赛队伍获得三等奖。根据报名队伍数，获奖比例和进决赛比例如有调整，以大赛官网的公告为准，请主动及时关注。</w:t>
      </w:r>
    </w:p>
    <w:p>
      <w:pPr>
        <w:spacing w:line="360" w:lineRule="auto"/>
        <w:ind w:firstLine="640" w:firstLineChars="200"/>
        <w:rPr>
          <w:rFonts w:ascii="仿宋" w:hAnsi="仿宋" w:eastAsia="仿宋" w:cs="仿宋"/>
          <w:sz w:val="32"/>
          <w:szCs w:val="32"/>
          <w:highlight w:val="none"/>
        </w:rPr>
      </w:pPr>
      <w:r>
        <w:rPr>
          <w:rFonts w:hint="eastAsia" w:ascii="仿宋" w:hAnsi="仿宋" w:eastAsia="仿宋" w:cs="仿宋"/>
          <w:sz w:val="32"/>
          <w:szCs w:val="32"/>
          <w:highlight w:val="none"/>
        </w:rPr>
        <w:t>大赛企业赛道奖项设置：大赛</w:t>
      </w:r>
      <w:r>
        <w:rPr>
          <w:rFonts w:hint="eastAsia" w:ascii="仿宋" w:hAnsi="仿宋" w:eastAsia="仿宋" w:cs="仿宋"/>
          <w:sz w:val="32"/>
          <w:szCs w:val="32"/>
          <w:highlight w:val="none"/>
          <w:lang w:eastAsia="zh-CN"/>
        </w:rPr>
        <w:t>企业</w:t>
      </w:r>
      <w:r>
        <w:rPr>
          <w:rFonts w:hint="eastAsia" w:ascii="仿宋" w:hAnsi="仿宋" w:eastAsia="仿宋" w:cs="仿宋"/>
          <w:sz w:val="32"/>
          <w:szCs w:val="32"/>
          <w:highlight w:val="none"/>
        </w:rPr>
        <w:t>赛道的参赛队伍</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获奖数量、比例及奖金以命题企业评比结果为准，不计入前述获奖数量中。</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优秀组织单位和优秀指导教师奖项设置：评选优秀组织单位和优秀指导教师等奖项时，其中“优秀组织单位”的评奖依据为代表队的竞赛准备和精神风范，“优秀指导教师”的评奖依据为教师在参赛作品中的指导与引领作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奖励设置如有调整，以决赛期间大赛官网的公告为准。</w:t>
      </w:r>
    </w:p>
    <w:p>
      <w:pPr>
        <w:spacing w:before="156" w:beforeLines="50" w:line="360" w:lineRule="auto"/>
        <w:outlineLvl w:val="1"/>
        <w:rPr>
          <w:rFonts w:ascii="仿宋" w:hAnsi="仿宋" w:eastAsia="仿宋" w:cs="仿宋"/>
          <w:b/>
          <w:bCs/>
          <w:sz w:val="32"/>
          <w:szCs w:val="32"/>
        </w:rPr>
      </w:pPr>
      <w:bookmarkStart w:id="19" w:name="_Toc22827"/>
      <w:r>
        <w:rPr>
          <w:rFonts w:ascii="仿宋" w:hAnsi="仿宋" w:eastAsia="仿宋" w:cs="仿宋"/>
          <w:b/>
          <w:bCs/>
          <w:sz w:val="32"/>
          <w:szCs w:val="32"/>
        </w:rPr>
        <w:t>4</w:t>
      </w:r>
      <w:r>
        <w:rPr>
          <w:rFonts w:hint="eastAsia" w:ascii="仿宋" w:hAnsi="仿宋" w:eastAsia="仿宋" w:cs="仿宋"/>
          <w:b/>
          <w:bCs/>
          <w:sz w:val="32"/>
          <w:szCs w:val="32"/>
        </w:rPr>
        <w:t>.2奖励办法</w:t>
      </w:r>
      <w:bookmarkEnd w:id="19"/>
    </w:p>
    <w:p>
      <w:pPr>
        <w:spacing w:line="360" w:lineRule="auto"/>
        <w:ind w:firstLine="640" w:firstLineChars="200"/>
        <w:rPr>
          <w:rFonts w:ascii="仿宋" w:hAnsi="仿宋" w:eastAsia="仿宋" w:cs="仿宋"/>
          <w:color w:val="FF0000"/>
          <w:sz w:val="32"/>
          <w:szCs w:val="32"/>
        </w:rPr>
      </w:pPr>
      <w:r>
        <w:rPr>
          <w:rFonts w:hint="eastAsia" w:ascii="仿宋" w:hAnsi="仿宋" w:eastAsia="仿宋" w:cs="仿宋"/>
          <w:sz w:val="32"/>
          <w:szCs w:val="32"/>
        </w:rPr>
        <w:t>获得一等奖（含冠亚季军）、二等奖、三等奖、优秀组织单位、优秀指导教师及个人颁发相应荣誉证书，一等奖、二等奖颁发相应奖金。</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所有入围总决赛的参赛作品，将在总决赛期间进行相关展览展示。</w:t>
      </w:r>
    </w:p>
    <w:p>
      <w:pPr>
        <w:spacing w:line="360" w:lineRule="auto"/>
        <w:ind w:firstLine="640" w:firstLineChars="200"/>
        <w:rPr>
          <w:rFonts w:ascii="仿宋" w:hAnsi="仿宋" w:eastAsia="仿宋" w:cs="仿宋"/>
          <w:bCs/>
          <w:kern w:val="44"/>
          <w:sz w:val="32"/>
          <w:szCs w:val="32"/>
        </w:rPr>
      </w:pPr>
      <w:r>
        <w:rPr>
          <w:rFonts w:hint="eastAsia" w:ascii="仿宋" w:hAnsi="仿宋" w:eastAsia="仿宋" w:cs="仿宋"/>
          <w:sz w:val="32"/>
          <w:szCs w:val="32"/>
        </w:rPr>
        <w:t>本办法解释权归本届大赛执委会所有。</w:t>
      </w:r>
      <w:r>
        <w:rPr>
          <w:rFonts w:hint="eastAsia" w:ascii="仿宋" w:hAnsi="仿宋" w:eastAsia="仿宋" w:cs="仿宋"/>
          <w:bCs/>
          <w:kern w:val="44"/>
          <w:sz w:val="32"/>
          <w:szCs w:val="32"/>
        </w:rPr>
        <w:br w:type="page"/>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hint="eastAsia" w:ascii="仿宋" w:hAnsi="仿宋" w:eastAsia="仿宋" w:cs="仿宋"/>
          <w:b/>
          <w:kern w:val="44"/>
          <w:sz w:val="32"/>
          <w:szCs w:val="32"/>
        </w:rPr>
      </w:pPr>
      <w:bookmarkStart w:id="20" w:name="_Toc2085"/>
      <w:r>
        <w:rPr>
          <w:rFonts w:hint="eastAsia" w:ascii="仿宋" w:hAnsi="仿宋" w:eastAsia="仿宋" w:cs="仿宋"/>
          <w:b/>
          <w:kern w:val="44"/>
          <w:sz w:val="32"/>
          <w:szCs w:val="32"/>
        </w:rPr>
        <w:t>第五章 纪律与处罚</w:t>
      </w:r>
      <w:bookmarkEnd w:id="20"/>
    </w:p>
    <w:p>
      <w:pPr>
        <w:widowControl/>
        <w:shd w:val="clear" w:color="auto" w:fill="FFFFFF"/>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各参赛单位严格审查参赛选手资格，若出现参赛选手资格问题，取消该作品参赛资格、参赛单位评优资格及承办单位申请权，并通报组委会各委员单位。</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参赛选手不得运用非法手段破坏大赛官方网站，以在大赛中获利。如出现此类问题取消参赛选手资格并通报其所在培养单位，由所在培养单位给予相应处罚。</w:t>
      </w:r>
    </w:p>
    <w:p>
      <w:pPr>
        <w:widowControl/>
        <w:shd w:val="clear" w:color="auto" w:fill="FFFFFF"/>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参赛选手不得运用非法手段窃取他人技术数据、创意设计方案等，如出现此类问题，取消参赛选手资格并通报其所在培养单位，由所在培养单位给予相应处罚。</w:t>
      </w:r>
    </w:p>
    <w:p>
      <w:pPr>
        <w:widowControl/>
        <w:shd w:val="clear" w:color="auto" w:fill="FFFFFF"/>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参赛作品须为原创，若发现作品存在抄袭、侵权现象或作品为往届作品的，取消相关作品的参赛资格，已获奖的追回相关奖励，同时，通报选手其所在培养单位，由所在培养单位给予相应处罚。由此造成的一切后果由选手自负。</w:t>
      </w:r>
    </w:p>
    <w:p>
      <w:pPr>
        <w:widowControl/>
        <w:shd w:val="clear" w:color="auto" w:fill="FFFFFF"/>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参赛作品指导教师仅负责指导参赛选手完成作品，不得将指导教师个人相关科研项目、研究成果署名学生作为参赛作品。如出现此类问题，取消参赛作品资格及指导教师评优资格，并通报组委会各委员单位。</w:t>
      </w:r>
    </w:p>
    <w:p>
      <w:pPr>
        <w:widowControl/>
        <w:shd w:val="clear" w:color="auto" w:fill="FFFFFF"/>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大赛组委会、承办单位、专家委员会及评审专家等应严格遵守大赛各项规章、制度，做到公正、公平、公开。若出现渎职、包庇等行为，取消相关作品资格及责任人职务，并通报组委会各委员单位、相关人所在单位。</w:t>
      </w:r>
      <w:r>
        <w:rPr>
          <w:rFonts w:hint="eastAsia" w:ascii="仿宋" w:hAnsi="仿宋" w:eastAsia="仿宋" w:cs="仿宋"/>
          <w:b/>
          <w:kern w:val="44"/>
          <w:sz w:val="32"/>
          <w:szCs w:val="32"/>
        </w:rPr>
        <w:br w:type="page"/>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0"/>
        <w:rPr>
          <w:rFonts w:hint="eastAsia" w:ascii="仿宋" w:hAnsi="仿宋" w:eastAsia="仿宋" w:cs="仿宋"/>
          <w:b/>
          <w:kern w:val="44"/>
          <w:sz w:val="32"/>
          <w:szCs w:val="32"/>
        </w:rPr>
      </w:pPr>
      <w:bookmarkStart w:id="21" w:name="_Toc20054"/>
      <w:r>
        <w:rPr>
          <w:rFonts w:hint="eastAsia" w:ascii="仿宋" w:hAnsi="仿宋" w:eastAsia="仿宋" w:cs="仿宋"/>
          <w:b/>
          <w:kern w:val="44"/>
          <w:sz w:val="32"/>
          <w:szCs w:val="32"/>
        </w:rPr>
        <w:t>第六章 承办组织机构与联系方式</w:t>
      </w:r>
      <w:bookmarkEnd w:id="21"/>
    </w:p>
    <w:p>
      <w:pPr>
        <w:spacing w:line="360" w:lineRule="auto"/>
        <w:ind w:right="-62" w:firstLine="640" w:firstLineChars="200"/>
        <w:rPr>
          <w:rFonts w:hint="eastAsia" w:ascii="仿宋" w:hAnsi="仿宋" w:eastAsia="仿宋" w:cs="仿宋"/>
          <w:color w:val="0D0D0D"/>
          <w:sz w:val="32"/>
          <w:szCs w:val="32"/>
          <w:highlight w:val="none"/>
          <w:lang w:eastAsia="zh-CN"/>
        </w:rPr>
      </w:pPr>
      <w:r>
        <w:rPr>
          <w:rFonts w:hint="eastAsia" w:ascii="仿宋" w:hAnsi="仿宋" w:eastAsia="仿宋" w:cs="仿宋"/>
          <w:color w:val="0D0D0D"/>
          <w:sz w:val="32"/>
          <w:szCs w:val="32"/>
          <w:highlight w:val="none"/>
          <w:lang w:eastAsia="zh-CN"/>
        </w:rPr>
        <w:t>第三届大赛承办单位为武汉理工大学、中共武汉市委组织部（武汉市人才工作局）、武昌区人民政府、武汉经济技术开发区管理委员会，具体由武汉理工大学资源与环境工程学院、材料科学与工程学院执行。</w:t>
      </w:r>
    </w:p>
    <w:p>
      <w:pPr>
        <w:spacing w:line="360" w:lineRule="auto"/>
        <w:ind w:right="-62" w:firstLine="640" w:firstLineChars="200"/>
        <w:rPr>
          <w:rFonts w:hint="eastAsia" w:ascii="仿宋" w:hAnsi="仿宋" w:eastAsia="仿宋" w:cs="仿宋"/>
          <w:color w:val="0D0D0D"/>
          <w:sz w:val="32"/>
          <w:szCs w:val="32"/>
          <w:highlight w:val="none"/>
          <w:lang w:val="en-US" w:eastAsia="zh-CN"/>
        </w:rPr>
      </w:pPr>
      <w:r>
        <w:rPr>
          <w:rFonts w:hint="eastAsia" w:ascii="仿宋" w:hAnsi="仿宋" w:eastAsia="仿宋" w:cs="仿宋"/>
          <w:color w:val="0D0D0D"/>
          <w:sz w:val="32"/>
          <w:szCs w:val="32"/>
          <w:highlight w:val="none"/>
        </w:rPr>
        <w:t>承办单位</w:t>
      </w:r>
      <w:r>
        <w:rPr>
          <w:rFonts w:hint="eastAsia" w:ascii="仿宋" w:hAnsi="仿宋" w:eastAsia="仿宋" w:cs="仿宋"/>
          <w:color w:val="0D0D0D"/>
          <w:sz w:val="32"/>
          <w:szCs w:val="32"/>
          <w:highlight w:val="none"/>
          <w:lang w:eastAsia="zh-CN"/>
        </w:rPr>
        <w:t>武汉理工大学联系人：邢老师，联系电话：</w:t>
      </w:r>
      <w:r>
        <w:rPr>
          <w:rFonts w:hint="eastAsia" w:ascii="仿宋" w:hAnsi="仿宋" w:eastAsia="仿宋" w:cs="仿宋"/>
          <w:color w:val="0D0D0D"/>
          <w:sz w:val="32"/>
          <w:szCs w:val="32"/>
          <w:highlight w:val="none"/>
          <w:lang w:val="en-US" w:eastAsia="zh-CN"/>
        </w:rPr>
        <w:t>027-87215931，</w:t>
      </w:r>
      <w:r>
        <w:rPr>
          <w:rFonts w:hint="eastAsia" w:ascii="仿宋" w:hAnsi="仿宋" w:eastAsia="仿宋" w:cs="仿宋"/>
          <w:color w:val="0D0D0D"/>
          <w:sz w:val="32"/>
          <w:szCs w:val="32"/>
          <w:highlight w:val="none"/>
          <w:lang w:eastAsia="zh-CN"/>
        </w:rPr>
        <w:t>电子邮箱：</w:t>
      </w:r>
      <w:r>
        <w:rPr>
          <w:rFonts w:hint="eastAsia" w:ascii="仿宋" w:hAnsi="仿宋" w:eastAsia="仿宋" w:cs="仿宋"/>
          <w:color w:val="0D0D0D"/>
          <w:sz w:val="32"/>
          <w:szCs w:val="32"/>
          <w:highlight w:val="none"/>
          <w:lang w:val="en-US" w:eastAsia="zh-CN"/>
        </w:rPr>
        <w:t>xinghuicn@126.com。</w:t>
      </w:r>
    </w:p>
    <w:p>
      <w:pPr>
        <w:spacing w:line="360" w:lineRule="auto"/>
        <w:ind w:right="-62" w:firstLine="640" w:firstLineChars="200"/>
        <w:rPr>
          <w:rFonts w:hint="eastAsia" w:ascii="仿宋" w:hAnsi="仿宋" w:eastAsia="仿宋" w:cs="仿宋"/>
          <w:color w:val="0D0D0D"/>
          <w:sz w:val="32"/>
          <w:szCs w:val="32"/>
          <w:highlight w:val="none"/>
          <w:lang w:eastAsia="zh-CN"/>
        </w:rPr>
      </w:pPr>
      <w:r>
        <w:rPr>
          <w:rFonts w:hint="eastAsia" w:ascii="仿宋" w:hAnsi="仿宋" w:eastAsia="仿宋" w:cs="仿宋"/>
          <w:color w:val="0D0D0D"/>
          <w:sz w:val="32"/>
          <w:szCs w:val="32"/>
          <w:highlight w:val="none"/>
        </w:rPr>
        <w:t>组委会秘书处</w:t>
      </w:r>
      <w:r>
        <w:rPr>
          <w:rFonts w:hint="eastAsia" w:ascii="仿宋" w:hAnsi="仿宋" w:eastAsia="仿宋" w:cs="仿宋"/>
          <w:color w:val="0D0D0D"/>
          <w:sz w:val="32"/>
          <w:szCs w:val="32"/>
          <w:highlight w:val="none"/>
          <w:lang w:eastAsia="zh-CN"/>
        </w:rPr>
        <w:t>单位</w:t>
      </w:r>
      <w:r>
        <w:rPr>
          <w:rFonts w:hint="eastAsia" w:ascii="仿宋" w:hAnsi="仿宋" w:eastAsia="仿宋" w:cs="仿宋"/>
          <w:color w:val="0D0D0D"/>
          <w:sz w:val="32"/>
          <w:szCs w:val="32"/>
          <w:highlight w:val="none"/>
        </w:rPr>
        <w:t>清华大学深圳国际研究生院联系人：黄老师</w:t>
      </w:r>
      <w:r>
        <w:rPr>
          <w:rFonts w:hint="eastAsia" w:ascii="仿宋" w:hAnsi="仿宋" w:eastAsia="仿宋" w:cs="仿宋"/>
          <w:color w:val="0D0D0D"/>
          <w:sz w:val="32"/>
          <w:szCs w:val="32"/>
          <w:highlight w:val="none"/>
          <w:lang w:eastAsia="zh-CN"/>
        </w:rPr>
        <w:t>，</w:t>
      </w:r>
      <w:r>
        <w:rPr>
          <w:rFonts w:hint="eastAsia" w:ascii="仿宋" w:hAnsi="仿宋" w:eastAsia="仿宋" w:cs="仿宋"/>
          <w:color w:val="0D0D0D"/>
          <w:sz w:val="32"/>
          <w:szCs w:val="32"/>
          <w:highlight w:val="none"/>
        </w:rPr>
        <w:t>联系电话：0755-26036536</w:t>
      </w:r>
      <w:r>
        <w:rPr>
          <w:rFonts w:hint="eastAsia" w:ascii="仿宋" w:hAnsi="仿宋" w:eastAsia="仿宋" w:cs="仿宋"/>
          <w:color w:val="0D0D0D"/>
          <w:sz w:val="32"/>
          <w:szCs w:val="32"/>
          <w:highlight w:val="none"/>
          <w:lang w:eastAsia="zh-CN"/>
        </w:rPr>
        <w:t>，</w:t>
      </w:r>
      <w:r>
        <w:rPr>
          <w:rFonts w:hint="eastAsia" w:ascii="仿宋" w:hAnsi="仿宋" w:eastAsia="仿宋" w:cs="仿宋"/>
          <w:color w:val="0D0D0D"/>
          <w:sz w:val="32"/>
          <w:szCs w:val="32"/>
          <w:highlight w:val="none"/>
        </w:rPr>
        <w:t>电子邮箱：iSpace@sz.tsinghua.edu.cn</w:t>
      </w:r>
      <w:r>
        <w:rPr>
          <w:rFonts w:hint="eastAsia" w:ascii="仿宋" w:hAnsi="仿宋" w:eastAsia="仿宋" w:cs="仿宋"/>
          <w:color w:val="0D0D0D"/>
          <w:sz w:val="32"/>
          <w:szCs w:val="32"/>
          <w:highlight w:val="none"/>
          <w:lang w:eastAsia="zh-CN"/>
        </w:rPr>
        <w:t>。</w:t>
      </w:r>
    </w:p>
    <w:p>
      <w:pPr>
        <w:spacing w:before="156" w:beforeLines="50" w:line="360" w:lineRule="auto"/>
        <w:ind w:firstLine="640" w:firstLineChars="200"/>
        <w:rPr>
          <w:rFonts w:ascii="仿宋" w:hAnsi="仿宋" w:eastAsia="仿宋" w:cs="仿宋"/>
          <w:bCs/>
          <w:kern w:val="44"/>
          <w:sz w:val="32"/>
          <w:szCs w:val="32"/>
        </w:rPr>
      </w:pPr>
    </w:p>
    <w:p>
      <w:pPr>
        <w:spacing w:before="156" w:beforeLines="50" w:line="360" w:lineRule="auto"/>
        <w:ind w:firstLine="640" w:firstLineChars="200"/>
        <w:rPr>
          <w:rFonts w:ascii="仿宋" w:hAnsi="仿宋" w:eastAsia="仿宋" w:cs="仿宋"/>
          <w:bCs/>
          <w:kern w:val="44"/>
          <w:sz w:val="32"/>
          <w:szCs w:val="32"/>
        </w:rPr>
      </w:pPr>
    </w:p>
    <w:p>
      <w:pPr>
        <w:spacing w:before="156" w:beforeLines="50" w:line="360" w:lineRule="auto"/>
        <w:ind w:firstLine="640" w:firstLineChars="200"/>
        <w:rPr>
          <w:rFonts w:ascii="仿宋" w:hAnsi="仿宋" w:eastAsia="仿宋" w:cs="仿宋"/>
          <w:bCs/>
          <w:kern w:val="44"/>
          <w:sz w:val="32"/>
          <w:szCs w:val="32"/>
        </w:rPr>
      </w:pPr>
    </w:p>
    <w:p>
      <w:pPr>
        <w:widowControl/>
        <w:jc w:val="left"/>
        <w:rPr>
          <w:rFonts w:ascii="仿宋" w:hAnsi="仿宋" w:eastAsia="仿宋" w:cs="仿宋"/>
          <w:b/>
          <w:kern w:val="44"/>
          <w:sz w:val="32"/>
          <w:szCs w:val="32"/>
        </w:rPr>
      </w:pPr>
      <w:r>
        <w:rPr>
          <w:rFonts w:ascii="仿宋" w:hAnsi="仿宋" w:eastAsia="仿宋" w:cs="仿宋"/>
          <w:b/>
          <w:kern w:val="44"/>
          <w:sz w:val="32"/>
          <w:szCs w:val="32"/>
        </w:rPr>
        <w:br w:type="page"/>
      </w:r>
    </w:p>
    <w:bookmarkEnd w:id="2"/>
    <w:p>
      <w:pPr>
        <w:spacing w:before="156" w:beforeLines="50" w:line="360" w:lineRule="auto"/>
        <w:jc w:val="center"/>
        <w:rPr>
          <w:rFonts w:ascii="仿宋" w:hAnsi="仿宋" w:eastAsia="仿宋" w:cs="仿宋"/>
          <w:b/>
          <w:kern w:val="44"/>
          <w:sz w:val="32"/>
          <w:szCs w:val="32"/>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rPr>
          <w:rFonts w:ascii="仿宋" w:hAnsi="仿宋" w:eastAsia="仿宋" w:cs="仿宋"/>
          <w:sz w:val="32"/>
          <w:szCs w:val="32"/>
        </w:rPr>
      </w:pPr>
      <w:r>
        <w:rPr>
          <w:rFonts w:hint="eastAsia" w:ascii="仿宋" w:hAnsi="仿宋" w:eastAsia="仿宋" w:cs="仿宋"/>
          <w:sz w:val="32"/>
          <w:szCs w:val="32"/>
        </w:rPr>
        <w:t>附件1：</w:t>
      </w:r>
    </w:p>
    <w:p>
      <w:pPr>
        <w:spacing w:line="360" w:lineRule="auto"/>
        <w:jc w:val="center"/>
        <w:rPr>
          <w:rFonts w:ascii="仿宋" w:hAnsi="仿宋" w:eastAsia="仿宋" w:cs="方正小标宋简体"/>
          <w:sz w:val="32"/>
          <w:szCs w:val="32"/>
        </w:rPr>
      </w:pPr>
      <w:r>
        <w:rPr>
          <w:rFonts w:hint="eastAsia" w:ascii="仿宋" w:hAnsi="仿宋" w:eastAsia="仿宋" w:cs="方正小标宋简体"/>
          <w:sz w:val="32"/>
          <w:szCs w:val="32"/>
        </w:rPr>
        <w:t>第</w:t>
      </w:r>
      <w:r>
        <w:rPr>
          <w:rFonts w:hint="eastAsia" w:ascii="仿宋" w:hAnsi="仿宋" w:eastAsia="仿宋" w:cs="方正小标宋简体"/>
          <w:sz w:val="32"/>
          <w:szCs w:val="32"/>
          <w:lang w:eastAsia="zh-CN"/>
        </w:rPr>
        <w:t>三</w:t>
      </w:r>
      <w:r>
        <w:rPr>
          <w:rFonts w:hint="eastAsia" w:ascii="仿宋" w:hAnsi="仿宋" w:eastAsia="仿宋" w:cs="方正小标宋简体"/>
          <w:sz w:val="32"/>
          <w:szCs w:val="32"/>
        </w:rPr>
        <w:t>届中国研究生“双碳”创新与创意大赛</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仿宋" w:hAnsi="仿宋" w:eastAsia="仿宋" w:cs="方正小标宋简体"/>
          <w:sz w:val="32"/>
          <w:szCs w:val="32"/>
        </w:rPr>
      </w:pPr>
      <w:bookmarkStart w:id="22" w:name="_Toc8656"/>
      <w:r>
        <w:rPr>
          <w:rFonts w:hint="eastAsia" w:ascii="仿宋" w:hAnsi="仿宋" w:eastAsia="仿宋" w:cs="方正小标宋简体"/>
          <w:sz w:val="32"/>
          <w:szCs w:val="32"/>
        </w:rPr>
        <w:t>创新计划书</w:t>
      </w:r>
      <w:bookmarkEnd w:id="22"/>
    </w:p>
    <w:p>
      <w:pPr>
        <w:spacing w:line="360" w:lineRule="auto"/>
        <w:jc w:val="center"/>
        <w:rPr>
          <w:rFonts w:ascii="仿宋" w:hAnsi="仿宋" w:eastAsia="仿宋" w:cs="仿宋"/>
          <w:sz w:val="24"/>
          <w:szCs w:val="24"/>
        </w:rPr>
      </w:pPr>
      <w:r>
        <w:rPr>
          <w:rFonts w:hint="eastAsia" w:ascii="仿宋" w:hAnsi="仿宋" w:eastAsia="仿宋" w:cs="方正小标宋简体"/>
          <w:sz w:val="24"/>
          <w:szCs w:val="24"/>
        </w:rPr>
        <w:t>（模板）</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7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764" w:type="dxa"/>
            <w:vAlign w:val="center"/>
          </w:tcPr>
          <w:p>
            <w:pPr>
              <w:spacing w:line="240" w:lineRule="auto"/>
              <w:jc w:val="center"/>
              <w:rPr>
                <w:rFonts w:ascii="仿宋" w:hAnsi="仿宋" w:eastAsia="仿宋" w:cs="仿宋"/>
                <w:b/>
                <w:bCs/>
                <w:kern w:val="0"/>
                <w:sz w:val="28"/>
                <w:szCs w:val="28"/>
              </w:rPr>
            </w:pPr>
            <w:r>
              <w:rPr>
                <w:rFonts w:hint="eastAsia" w:ascii="仿宋" w:hAnsi="仿宋" w:eastAsia="仿宋" w:cs="仿宋"/>
                <w:b/>
                <w:bCs/>
                <w:kern w:val="0"/>
                <w:sz w:val="22"/>
                <w:szCs w:val="22"/>
              </w:rPr>
              <w:t>项目名称</w:t>
            </w:r>
          </w:p>
        </w:tc>
        <w:tc>
          <w:tcPr>
            <w:tcW w:w="7758" w:type="dxa"/>
            <w:vAlign w:val="center"/>
          </w:tcPr>
          <w:p>
            <w:pPr>
              <w:spacing w:line="440" w:lineRule="exact"/>
              <w:rPr>
                <w:rFonts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764" w:type="dxa"/>
            <w:vAlign w:val="center"/>
          </w:tcPr>
          <w:p>
            <w:pPr>
              <w:spacing w:line="240" w:lineRule="auto"/>
              <w:jc w:val="center"/>
              <w:rPr>
                <w:rFonts w:hint="eastAsia" w:ascii="仿宋" w:hAnsi="仿宋" w:eastAsia="仿宋" w:cs="仿宋"/>
                <w:b/>
                <w:bCs/>
                <w:kern w:val="0"/>
                <w:sz w:val="22"/>
                <w:szCs w:val="22"/>
                <w:lang w:val="en-US" w:eastAsia="zh-CN"/>
              </w:rPr>
            </w:pPr>
            <w:r>
              <w:rPr>
                <w:rFonts w:hint="eastAsia" w:ascii="仿宋" w:hAnsi="仿宋" w:eastAsia="仿宋" w:cs="仿宋"/>
                <w:b/>
                <w:bCs/>
                <w:kern w:val="0"/>
                <w:sz w:val="22"/>
                <w:szCs w:val="22"/>
                <w:lang w:val="en-US" w:eastAsia="zh-CN"/>
              </w:rPr>
              <w:t>类别</w:t>
            </w:r>
          </w:p>
        </w:tc>
        <w:tc>
          <w:tcPr>
            <w:tcW w:w="7758" w:type="dxa"/>
            <w:vAlign w:val="center"/>
          </w:tcPr>
          <w:p>
            <w:pPr>
              <w:spacing w:line="440" w:lineRule="exact"/>
              <w:rPr>
                <w:rFonts w:hint="default" w:ascii="仿宋" w:hAnsi="仿宋" w:eastAsia="仿宋" w:cs="仿宋"/>
                <w:kern w:val="0"/>
                <w:sz w:val="28"/>
                <w:szCs w:val="28"/>
                <w:lang w:val="en-US"/>
              </w:rPr>
            </w:pPr>
            <w:r>
              <w:rPr>
                <w:rFonts w:hint="eastAsia" w:ascii="仿宋" w:hAnsi="仿宋" w:eastAsia="仿宋" w:cs="仿宋"/>
                <w:kern w:val="0"/>
                <w:sz w:val="22"/>
                <w:szCs w:val="22"/>
                <w:lang w:val="en-US" w:eastAsia="zh-CN"/>
              </w:rPr>
              <w:sym w:font="Wingdings" w:char="00A8"/>
            </w:r>
            <w:r>
              <w:rPr>
                <w:rFonts w:hint="eastAsia" w:ascii="仿宋" w:hAnsi="仿宋" w:eastAsia="仿宋" w:cs="仿宋"/>
                <w:kern w:val="0"/>
                <w:sz w:val="22"/>
                <w:szCs w:val="22"/>
                <w:lang w:val="en-US" w:eastAsia="zh-CN"/>
              </w:rPr>
              <w:t xml:space="preserve">基础研究 </w:t>
            </w:r>
            <w:r>
              <w:rPr>
                <w:rFonts w:hint="eastAsia" w:ascii="仿宋" w:hAnsi="仿宋" w:eastAsia="仿宋" w:cs="仿宋"/>
                <w:kern w:val="0"/>
                <w:sz w:val="22"/>
                <w:szCs w:val="22"/>
                <w:lang w:val="en-US" w:eastAsia="zh-CN"/>
              </w:rPr>
              <w:sym w:font="Wingdings" w:char="00A8"/>
            </w:r>
            <w:r>
              <w:rPr>
                <w:rFonts w:hint="eastAsia" w:ascii="仿宋" w:hAnsi="仿宋" w:eastAsia="仿宋" w:cs="仿宋"/>
                <w:kern w:val="0"/>
                <w:sz w:val="22"/>
                <w:szCs w:val="22"/>
                <w:lang w:val="en-US" w:eastAsia="zh-CN"/>
              </w:rPr>
              <w:t xml:space="preserve">应用基础研究 </w:t>
            </w:r>
            <w:r>
              <w:rPr>
                <w:rFonts w:hint="eastAsia" w:ascii="仿宋" w:hAnsi="仿宋" w:eastAsia="仿宋" w:cs="仿宋"/>
                <w:kern w:val="0"/>
                <w:sz w:val="22"/>
                <w:szCs w:val="22"/>
                <w:lang w:val="en-US" w:eastAsia="zh-CN"/>
              </w:rPr>
              <w:sym w:font="Wingdings" w:char="00A8"/>
            </w:r>
            <w:r>
              <w:rPr>
                <w:rFonts w:hint="eastAsia" w:ascii="仿宋" w:hAnsi="仿宋" w:eastAsia="仿宋" w:cs="仿宋"/>
                <w:kern w:val="0"/>
                <w:sz w:val="22"/>
                <w:szCs w:val="22"/>
                <w:lang w:val="en-US" w:eastAsia="zh-CN"/>
              </w:rPr>
              <w:t xml:space="preserve">应用研究 </w:t>
            </w:r>
            <w:r>
              <w:rPr>
                <w:rFonts w:hint="eastAsia" w:ascii="仿宋" w:hAnsi="仿宋" w:eastAsia="仿宋" w:cs="仿宋"/>
                <w:kern w:val="0"/>
                <w:sz w:val="22"/>
                <w:szCs w:val="22"/>
                <w:lang w:val="en-US" w:eastAsia="zh-CN"/>
              </w:rPr>
              <w:sym w:font="Wingdings" w:char="00A8"/>
            </w:r>
            <w:r>
              <w:rPr>
                <w:rFonts w:hint="eastAsia" w:ascii="仿宋" w:hAnsi="仿宋" w:eastAsia="仿宋" w:cs="仿宋"/>
                <w:kern w:val="0"/>
                <w:sz w:val="22"/>
                <w:szCs w:val="22"/>
                <w:lang w:val="en-US" w:eastAsia="zh-CN"/>
              </w:rPr>
              <w:t>其他</w:t>
            </w:r>
            <w:r>
              <w:rPr>
                <w:rFonts w:hint="eastAsia" w:ascii="仿宋" w:hAnsi="仿宋" w:eastAsia="仿宋" w:cs="仿宋"/>
                <w:kern w:val="0"/>
                <w:sz w:val="22"/>
                <w:szCs w:val="22"/>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764" w:type="dxa"/>
            <w:vMerge w:val="restart"/>
            <w:vAlign w:val="center"/>
          </w:tcPr>
          <w:p>
            <w:pPr>
              <w:spacing w:line="44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内容摘要</w:t>
            </w:r>
          </w:p>
        </w:tc>
        <w:tc>
          <w:tcPr>
            <w:tcW w:w="7758" w:type="dxa"/>
          </w:tcPr>
          <w:p>
            <w:pPr>
              <w:spacing w:line="440" w:lineRule="exact"/>
              <w:rPr>
                <w:rFonts w:ascii="仿宋" w:hAnsi="仿宋" w:eastAsia="仿宋" w:cs="仿宋"/>
                <w:b/>
                <w:bCs/>
                <w:kern w:val="0"/>
                <w:sz w:val="28"/>
                <w:szCs w:val="28"/>
              </w:rPr>
            </w:pPr>
            <w:r>
              <w:rPr>
                <w:rFonts w:hint="eastAsia" w:ascii="仿宋" w:hAnsi="仿宋" w:eastAsia="仿宋" w:cs="仿宋"/>
                <w:b/>
                <w:bCs/>
                <w:kern w:val="0"/>
                <w:sz w:val="24"/>
                <w:szCs w:val="24"/>
              </w:rPr>
              <w:t>（1）项目简介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764" w:type="dxa"/>
            <w:vMerge w:val="continue"/>
          </w:tcPr>
          <w:p>
            <w:pPr>
              <w:spacing w:line="440" w:lineRule="exact"/>
              <w:rPr>
                <w:rFonts w:ascii="仿宋" w:hAnsi="仿宋" w:eastAsia="仿宋" w:cs="仿宋"/>
                <w:kern w:val="0"/>
                <w:sz w:val="28"/>
                <w:szCs w:val="28"/>
              </w:rPr>
            </w:pPr>
          </w:p>
        </w:tc>
        <w:tc>
          <w:tcPr>
            <w:tcW w:w="7758" w:type="dxa"/>
          </w:tcPr>
          <w:p>
            <w:pPr>
              <w:spacing w:line="440" w:lineRule="exact"/>
              <w:rPr>
                <w:rFonts w:ascii="仿宋" w:hAnsi="仿宋" w:eastAsia="仿宋" w:cs="仿宋"/>
                <w:kern w:val="0"/>
                <w:sz w:val="28"/>
                <w:szCs w:val="28"/>
              </w:rPr>
            </w:pPr>
            <w:r>
              <w:rPr>
                <w:rFonts w:hint="eastAsia" w:ascii="仿宋" w:hAnsi="仿宋" w:eastAsia="仿宋" w:cs="仿宋"/>
                <w:kern w:val="0"/>
                <w:sz w:val="22"/>
                <w:szCs w:val="22"/>
                <w:lang w:val="en-US" w:eastAsia="zh-CN"/>
              </w:rPr>
              <w:t>（介绍项目研究背景及意义、立项思路，1000字以内）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764" w:type="dxa"/>
            <w:vMerge w:val="continue"/>
          </w:tcPr>
          <w:p>
            <w:pPr>
              <w:spacing w:line="440" w:lineRule="exact"/>
              <w:rPr>
                <w:rFonts w:ascii="仿宋" w:hAnsi="仿宋" w:eastAsia="仿宋" w:cs="仿宋"/>
                <w:kern w:val="0"/>
                <w:sz w:val="28"/>
                <w:szCs w:val="28"/>
              </w:rPr>
            </w:pPr>
          </w:p>
        </w:tc>
        <w:tc>
          <w:tcPr>
            <w:tcW w:w="7758" w:type="dxa"/>
          </w:tcPr>
          <w:p>
            <w:pPr>
              <w:spacing w:line="440" w:lineRule="exact"/>
              <w:rPr>
                <w:rFonts w:ascii="仿宋" w:hAnsi="仿宋" w:eastAsia="仿宋" w:cs="仿宋"/>
                <w:b/>
                <w:bCs/>
                <w:kern w:val="0"/>
                <w:sz w:val="28"/>
                <w:szCs w:val="28"/>
              </w:rPr>
            </w:pPr>
            <w:r>
              <w:rPr>
                <w:rFonts w:hint="eastAsia" w:ascii="仿宋" w:hAnsi="仿宋" w:eastAsia="仿宋" w:cs="仿宋"/>
                <w:b/>
                <w:bCs/>
                <w:kern w:val="0"/>
                <w:sz w:val="24"/>
                <w:szCs w:val="24"/>
              </w:rPr>
              <w:t>（2）项目回应与创新创意点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exact"/>
          <w:jc w:val="center"/>
        </w:trPr>
        <w:tc>
          <w:tcPr>
            <w:tcW w:w="764" w:type="dxa"/>
            <w:vMerge w:val="continue"/>
          </w:tcPr>
          <w:p>
            <w:pPr>
              <w:spacing w:line="440" w:lineRule="exact"/>
              <w:rPr>
                <w:rFonts w:ascii="仿宋" w:hAnsi="仿宋" w:eastAsia="仿宋" w:cs="仿宋"/>
                <w:kern w:val="0"/>
                <w:sz w:val="28"/>
                <w:szCs w:val="28"/>
              </w:rPr>
            </w:pPr>
          </w:p>
        </w:tc>
        <w:tc>
          <w:tcPr>
            <w:tcW w:w="7758" w:type="dxa"/>
          </w:tcPr>
          <w:p>
            <w:pPr>
              <w:spacing w:line="440" w:lineRule="exact"/>
              <w:rPr>
                <w:rFonts w:ascii="仿宋" w:hAnsi="仿宋" w:eastAsia="仿宋" w:cs="仿宋"/>
                <w:kern w:val="0"/>
                <w:sz w:val="28"/>
                <w:szCs w:val="28"/>
              </w:rPr>
            </w:pPr>
            <w:r>
              <w:rPr>
                <w:rFonts w:hint="eastAsia" w:ascii="仿宋" w:hAnsi="仿宋" w:eastAsia="仿宋" w:cs="仿宋"/>
                <w:kern w:val="0"/>
                <w:sz w:val="22"/>
                <w:szCs w:val="22"/>
                <w:lang w:val="en-US" w:eastAsia="zh-CN"/>
              </w:rPr>
              <w:t>（请阐述对所选的题目的理解与回应，项目的创新创意点、技术路线等，1500字以内）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764" w:type="dxa"/>
            <w:vMerge w:val="continue"/>
          </w:tcPr>
          <w:p>
            <w:pPr>
              <w:spacing w:line="440" w:lineRule="exact"/>
              <w:rPr>
                <w:rFonts w:ascii="仿宋" w:hAnsi="仿宋" w:eastAsia="仿宋" w:cs="仿宋"/>
                <w:kern w:val="0"/>
                <w:sz w:val="28"/>
                <w:szCs w:val="28"/>
              </w:rPr>
            </w:pPr>
          </w:p>
        </w:tc>
        <w:tc>
          <w:tcPr>
            <w:tcW w:w="7758" w:type="dxa"/>
          </w:tcPr>
          <w:p>
            <w:pPr>
              <w:spacing w:line="440" w:lineRule="exact"/>
              <w:rPr>
                <w:rFonts w:ascii="仿宋" w:hAnsi="仿宋" w:eastAsia="仿宋" w:cs="仿宋"/>
                <w:kern w:val="0"/>
                <w:sz w:val="28"/>
                <w:szCs w:val="28"/>
              </w:rPr>
            </w:pPr>
            <w:r>
              <w:rPr>
                <w:rFonts w:hint="eastAsia" w:ascii="仿宋" w:hAnsi="仿宋" w:eastAsia="仿宋" w:cs="仿宋"/>
                <w:b/>
                <w:bCs/>
                <w:kern w:val="0"/>
                <w:sz w:val="24"/>
                <w:szCs w:val="24"/>
              </w:rPr>
              <w:t>（3）项目预期目标及前景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764" w:type="dxa"/>
            <w:vMerge w:val="continue"/>
          </w:tcPr>
          <w:p>
            <w:pPr>
              <w:spacing w:line="440" w:lineRule="exact"/>
              <w:rPr>
                <w:rFonts w:ascii="仿宋" w:hAnsi="仿宋" w:eastAsia="仿宋" w:cs="仿宋"/>
                <w:kern w:val="0"/>
                <w:sz w:val="28"/>
                <w:szCs w:val="28"/>
              </w:rPr>
            </w:pPr>
          </w:p>
        </w:tc>
        <w:tc>
          <w:tcPr>
            <w:tcW w:w="7758" w:type="dxa"/>
          </w:tcPr>
          <w:p>
            <w:pPr>
              <w:spacing w:line="440" w:lineRule="exact"/>
              <w:rPr>
                <w:rFonts w:ascii="仿宋" w:hAnsi="仿宋" w:eastAsia="仿宋" w:cs="仿宋"/>
                <w:b/>
                <w:bCs/>
                <w:kern w:val="0"/>
                <w:sz w:val="28"/>
                <w:szCs w:val="28"/>
              </w:rPr>
            </w:pPr>
            <w:r>
              <w:rPr>
                <w:rFonts w:hint="eastAsia" w:ascii="仿宋" w:hAnsi="仿宋" w:eastAsia="仿宋" w:cs="仿宋"/>
                <w:kern w:val="0"/>
                <w:sz w:val="22"/>
                <w:szCs w:val="22"/>
                <w:lang w:val="en-US" w:eastAsia="zh-CN"/>
              </w:rPr>
              <w:t>（概括预期市场与前景、对实现双碳目标的贡献等，1000字以内）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exact"/>
          <w:jc w:val="center"/>
        </w:trPr>
        <w:tc>
          <w:tcPr>
            <w:tcW w:w="764" w:type="dxa"/>
            <w:vAlign w:val="center"/>
          </w:tcPr>
          <w:p>
            <w:pPr>
              <w:jc w:val="center"/>
              <w:rPr>
                <w:rFonts w:hint="eastAsia" w:ascii="微软雅黑" w:hAnsi="微软雅黑" w:eastAsia="微软雅黑" w:cstheme="minorBidi"/>
                <w:kern w:val="2"/>
                <w:sz w:val="20"/>
                <w:szCs w:val="21"/>
                <w:lang w:val="en-US" w:eastAsia="zh-CN" w:bidi="ar-SA"/>
              </w:rPr>
            </w:pPr>
            <w:r>
              <w:rPr>
                <w:rFonts w:hint="eastAsia" w:ascii="仿宋" w:hAnsi="仿宋" w:eastAsia="仿宋" w:cs="仿宋"/>
                <w:b/>
                <w:bCs/>
                <w:kern w:val="0"/>
                <w:sz w:val="28"/>
                <w:szCs w:val="28"/>
              </w:rPr>
              <w:t>项目方案</w:t>
            </w:r>
          </w:p>
        </w:tc>
        <w:tc>
          <w:tcPr>
            <w:tcW w:w="7758" w:type="dxa"/>
            <w:vAlign w:val="top"/>
          </w:tcPr>
          <w:p>
            <w:pPr>
              <w:spacing w:line="400" w:lineRule="exact"/>
              <w:rPr>
                <w:rFonts w:hint="default" w:ascii="微软雅黑" w:hAnsi="微软雅黑" w:eastAsia="微软雅黑" w:cs="仿宋"/>
                <w:kern w:val="0"/>
                <w:sz w:val="18"/>
                <w:szCs w:val="20"/>
                <w:lang w:val="en-US" w:eastAsia="zh-CN" w:bidi="ar-SA"/>
              </w:rPr>
            </w:pPr>
            <w:r>
              <w:rPr>
                <w:rFonts w:hint="eastAsia" w:ascii="仿宋" w:hAnsi="仿宋" w:eastAsia="仿宋" w:cs="仿宋"/>
                <w:kern w:val="0"/>
                <w:sz w:val="22"/>
                <w:szCs w:val="22"/>
                <w:lang w:val="en-US" w:eastAsia="zh-CN"/>
              </w:rPr>
              <w:t>（具体描述项目的内容、技术等内容，字数不限，可另附文件说明）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exact"/>
          <w:jc w:val="center"/>
        </w:trPr>
        <w:tc>
          <w:tcPr>
            <w:tcW w:w="764" w:type="dxa"/>
            <w:vAlign w:val="center"/>
          </w:tcPr>
          <w:p>
            <w:pPr>
              <w:spacing w:line="440" w:lineRule="exact"/>
              <w:jc w:val="center"/>
              <w:rPr>
                <w:rFonts w:hint="default" w:ascii="仿宋" w:hAnsi="仿宋" w:eastAsia="仿宋" w:cs="仿宋"/>
                <w:kern w:val="0"/>
                <w:sz w:val="28"/>
                <w:szCs w:val="28"/>
                <w:lang w:val="en-US" w:eastAsia="zh-CN"/>
              </w:rPr>
            </w:pPr>
            <w:r>
              <w:rPr>
                <w:rFonts w:hint="eastAsia" w:ascii="仿宋" w:hAnsi="仿宋" w:eastAsia="仿宋" w:cs="仿宋"/>
                <w:b/>
                <w:bCs/>
                <w:kern w:val="0"/>
                <w:sz w:val="28"/>
                <w:szCs w:val="28"/>
                <w:lang w:val="en-US" w:eastAsia="zh-CN"/>
              </w:rPr>
              <w:t>团队分工</w:t>
            </w:r>
          </w:p>
        </w:tc>
        <w:tc>
          <w:tcPr>
            <w:tcW w:w="7758" w:type="dxa"/>
          </w:tcPr>
          <w:p>
            <w:pPr>
              <w:spacing w:line="440" w:lineRule="exac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（每位成员在项目中负责的主要内容和主要贡献）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764" w:type="dxa"/>
            <w:vAlign w:val="top"/>
          </w:tcPr>
          <w:p>
            <w:pPr>
              <w:spacing w:line="44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备注</w:t>
            </w:r>
          </w:p>
        </w:tc>
        <w:tc>
          <w:tcPr>
            <w:tcW w:w="7758" w:type="dxa"/>
            <w:vAlign w:val="top"/>
          </w:tcPr>
          <w:p>
            <w:pPr>
              <w:spacing w:line="400" w:lineRule="exac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（如参赛团队需说明表中未涉及事宜，可另附文件说明）</w:t>
            </w:r>
          </w:p>
        </w:tc>
      </w:tr>
    </w:tbl>
    <w:p>
      <w:pPr>
        <w:widowControl/>
        <w:jc w:val="left"/>
        <w:rPr>
          <w:rFonts w:ascii="仿宋" w:hAnsi="仿宋" w:eastAsia="仿宋" w:cs="仿宋"/>
          <w:sz w:val="32"/>
          <w:szCs w:val="32"/>
        </w:rPr>
      </w:pPr>
      <w:r>
        <w:rPr>
          <w:rFonts w:ascii="仿宋" w:hAnsi="仿宋" w:eastAsia="仿宋" w:cs="仿宋"/>
          <w:sz w:val="32"/>
          <w:szCs w:val="32"/>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sz w:val="32"/>
          <w:szCs w:val="32"/>
        </w:rPr>
      </w:pPr>
      <w:bookmarkStart w:id="23" w:name="_Toc5868"/>
      <w:r>
        <w:rPr>
          <w:rFonts w:hint="eastAsia" w:ascii="仿宋" w:hAnsi="仿宋" w:eastAsia="仿宋" w:cs="仿宋"/>
          <w:sz w:val="32"/>
          <w:szCs w:val="32"/>
        </w:rPr>
        <w:t>附件2：</w:t>
      </w:r>
      <w:bookmarkEnd w:id="23"/>
      <w:bookmarkStart w:id="24" w:name="_Toc1002"/>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方正小标宋简体"/>
          <w:sz w:val="32"/>
          <w:szCs w:val="32"/>
        </w:rPr>
      </w:pPr>
      <w:r>
        <w:rPr>
          <w:rFonts w:hint="eastAsia" w:ascii="仿宋" w:hAnsi="仿宋" w:eastAsia="仿宋" w:cs="方正小标宋简体"/>
          <w:sz w:val="32"/>
          <w:szCs w:val="32"/>
        </w:rPr>
        <w:t>赛题汇总</w:t>
      </w:r>
      <w:bookmarkEnd w:id="24"/>
    </w:p>
    <w:p>
      <w:pPr>
        <w:keepNext w:val="0"/>
        <w:keepLines w:val="0"/>
        <w:pageBreakBefore w:val="0"/>
        <w:widowControl w:val="0"/>
        <w:kinsoku/>
        <w:wordWrap/>
        <w:overflowPunct/>
        <w:topLinePunct w:val="0"/>
        <w:autoSpaceDE/>
        <w:autoSpaceDN/>
        <w:bidi w:val="0"/>
        <w:adjustRightInd/>
        <w:snapToGrid w:val="0"/>
        <w:spacing w:before="120" w:beforeLines="50" w:after="120" w:afterLines="50" w:line="500" w:lineRule="exact"/>
        <w:jc w:val="center"/>
        <w:textAlignment w:val="auto"/>
        <w:outlineLvl w:val="9"/>
        <w:rPr>
          <w:rFonts w:ascii="仿宋" w:hAnsi="仿宋" w:eastAsia="仿宋" w:cs="仿宋_GB2312"/>
          <w:b/>
          <w:bCs/>
          <w:sz w:val="32"/>
          <w:szCs w:val="32"/>
        </w:rPr>
      </w:pPr>
      <w:bookmarkStart w:id="25" w:name="_Toc18218"/>
      <w:r>
        <w:rPr>
          <w:rFonts w:hint="eastAsia" w:ascii="仿宋" w:hAnsi="仿宋" w:eastAsia="仿宋" w:cs="仿宋_GB2312"/>
          <w:b/>
          <w:bCs/>
          <w:sz w:val="32"/>
          <w:szCs w:val="32"/>
        </w:rPr>
        <w:t>命题1（赛道一：环境与绿色科技）</w:t>
      </w:r>
      <w:bookmarkEnd w:id="25"/>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outlineLvl w:val="9"/>
              <w:rPr>
                <w:rFonts w:ascii="仿宋" w:hAnsi="仿宋" w:eastAsia="仿宋" w:cs="仿宋"/>
                <w:b/>
                <w:bCs/>
                <w:kern w:val="0"/>
                <w:sz w:val="28"/>
                <w:szCs w:val="28"/>
              </w:rPr>
            </w:pPr>
            <w:bookmarkStart w:id="26" w:name="_Toc20782"/>
            <w:r>
              <w:rPr>
                <w:rFonts w:hint="eastAsia" w:ascii="仿宋" w:hAnsi="仿宋" w:eastAsia="仿宋" w:cs="仿宋"/>
                <w:b/>
                <w:bCs/>
                <w:kern w:val="0"/>
                <w:sz w:val="28"/>
                <w:szCs w:val="28"/>
              </w:rPr>
              <w:t>主题：水处理工艺的碳减排及能量回收技术</w:t>
            </w:r>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28"/>
                <w:szCs w:val="28"/>
              </w:rPr>
            </w:pPr>
            <w:r>
              <w:rPr>
                <w:rFonts w:hint="eastAsia" w:ascii="仿宋" w:hAnsi="仿宋" w:eastAsia="仿宋" w:cs="仿宋"/>
                <w:kern w:val="0"/>
                <w:sz w:val="28"/>
                <w:szCs w:val="28"/>
              </w:rPr>
              <w:tab/>
            </w:r>
            <w:r>
              <w:rPr>
                <w:rFonts w:hint="eastAsia" w:ascii="仿宋" w:hAnsi="仿宋" w:eastAsia="仿宋" w:cs="仿宋"/>
                <w:kern w:val="0"/>
                <w:sz w:val="28"/>
                <w:szCs w:val="28"/>
              </w:rPr>
              <w:t>水处理行业是支撑现代城市运转的基石，城市生活、生产在供排水系统的支持下才得以正常进行。但水处理厂的运行会消耗大量电力，大量碳排放也伴随着高额电耗产生。传统的城镇污水处理技术（如活性污泥法）在净化污水的同时消耗了大量能源。据统计，我国城镇污水处理能耗约占全社会用电量的1%左右，温室气体排放量超过1亿吨二氧化碳当量。除了高能耗问题，传统</w:t>
            </w:r>
            <w:r>
              <w:rPr>
                <w:rFonts w:hint="eastAsia" w:ascii="仿宋" w:hAnsi="仿宋" w:eastAsia="仿宋" w:cs="仿宋"/>
                <w:kern w:val="0"/>
                <w:sz w:val="28"/>
                <w:szCs w:val="28"/>
                <w:lang w:eastAsia="zh-CN"/>
              </w:rPr>
              <w:t>污水处理厂</w:t>
            </w:r>
            <w:r>
              <w:rPr>
                <w:rFonts w:hint="eastAsia" w:ascii="仿宋" w:hAnsi="仿宋" w:eastAsia="仿宋" w:cs="仿宋"/>
                <w:kern w:val="0"/>
                <w:sz w:val="28"/>
                <w:szCs w:val="28"/>
              </w:rPr>
              <w:t>还面临着水资源再生率低、污泥资源利用率低等问题，存在大量的减碳潜力。另一方面，污水是资源与能源的载体，其中所含有机碳资源所蕴含能量可达污水处理</w:t>
            </w:r>
            <w:r>
              <w:rPr>
                <w:rFonts w:hint="eastAsia" w:ascii="仿宋" w:hAnsi="仿宋" w:eastAsia="仿宋" w:cs="仿宋"/>
                <w:kern w:val="0"/>
                <w:sz w:val="28"/>
                <w:szCs w:val="28"/>
                <w:lang w:eastAsia="zh-CN"/>
              </w:rPr>
              <w:t>能耗</w:t>
            </w:r>
            <w:r>
              <w:rPr>
                <w:rFonts w:hint="eastAsia" w:ascii="仿宋" w:hAnsi="仿宋" w:eastAsia="仿宋" w:cs="仿宋"/>
                <w:kern w:val="0"/>
                <w:sz w:val="28"/>
                <w:szCs w:val="28"/>
              </w:rPr>
              <w:t>的5</w:t>
            </w:r>
            <w:r>
              <w:rPr>
                <w:rFonts w:hint="eastAsia" w:ascii="仿宋" w:hAnsi="仿宋" w:eastAsia="仿宋" w:cs="仿宋"/>
                <w:kern w:val="0"/>
                <w:sz w:val="28"/>
                <w:szCs w:val="28"/>
                <w:lang w:eastAsia="zh-CN"/>
              </w:rPr>
              <w:t>至</w:t>
            </w:r>
            <w:r>
              <w:rPr>
                <w:rFonts w:hint="eastAsia" w:ascii="仿宋" w:hAnsi="仿宋" w:eastAsia="仿宋" w:cs="仿宋"/>
                <w:kern w:val="0"/>
                <w:sz w:val="28"/>
                <w:szCs w:val="28"/>
              </w:rPr>
              <w:t>10倍，这意味着若能高效捕捉利用污水中的有机碳源，回收其能量，用来反哺城镇污水处理厂的运行能耗，可以实现能源自给，并降低污水处理厂生命周期内的温室气体排放，最终达到碳中和运行。未来双碳政策力度将进一步加强，水处理行业应该如何在双碳理念的指导下解决水资源低再生利用率问题、降低水处理过程能耗、实现污水和污泥资源化，助力双碳政策推进呢？</w:t>
            </w:r>
            <w:r>
              <w:rPr>
                <w:rFonts w:hint="eastAsia" w:ascii="仿宋" w:hAnsi="仿宋" w:eastAsia="仿宋" w:cs="仿宋"/>
                <w:kern w:val="0"/>
                <w:sz w:val="28"/>
                <w:szCs w:val="28"/>
              </w:rPr>
              <w:tab/>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拟通过本主题，通力合作，运用水处理新工艺，发展污水有机碳源捕捉与能量回收技术，推动低能耗和高效的水处理系统的发展和应用，实现污水和污泥资源化，探索绿色、低碳的水处理方法。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1.新概念水厂</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2.低碳的污水处理技术及污水有机碳源捕捉与能量回收技术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3.基于新能源的污水处理材料及技术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4.污水处理厂碳排放核算</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32"/>
                <w:szCs w:val="32"/>
              </w:rPr>
            </w:pPr>
            <w:r>
              <w:rPr>
                <w:rFonts w:hint="eastAsia" w:ascii="仿宋" w:hAnsi="仿宋" w:eastAsia="仿宋" w:cs="仿宋"/>
                <w:kern w:val="0"/>
                <w:sz w:val="28"/>
                <w:szCs w:val="28"/>
              </w:rPr>
              <w:t>5.降低有机废水处理CO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排放</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高效低碳的再生水工艺</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w:t>
      </w:r>
      <w:r>
        <w:rPr>
          <w:rFonts w:hint="eastAsia" w:ascii="仿宋" w:hAnsi="仿宋" w:eastAsia="仿宋" w:cs="仿宋_GB2312"/>
          <w:b/>
          <w:bCs/>
          <w:sz w:val="32"/>
          <w:szCs w:val="32"/>
        </w:rPr>
        <w:t>（赛道一：环境与绿色科技）</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color w:val="000000"/>
                <w:kern w:val="0"/>
                <w:sz w:val="32"/>
                <w:szCs w:val="32"/>
              </w:rPr>
            </w:pPr>
            <w:r>
              <w:rPr>
                <w:rFonts w:hint="eastAsia" w:ascii="仿宋" w:hAnsi="仿宋" w:eastAsia="仿宋" w:cs="仿宋"/>
                <w:b/>
                <w:bCs/>
                <w:kern w:val="0"/>
                <w:sz w:val="28"/>
                <w:szCs w:val="28"/>
              </w:rPr>
              <w:t>主题：土壤固碳增汇与农田减污降碳协同增效绿色治理技术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土壤碳库是陆地生态系统中最大的碳库，目前全球每年向大气排放的CO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约31%被土壤固持，若采取有效措施使全球土壤碳储量每年增加1%则将抵消大气排放62.5%。土壤既表现出巨大的固碳潜力，但也有可能从碳汇转变为碳源从而加剧碳排放，因此通过有效行动来增加土壤碳稳定性并实现大范围提升土壤碳储量，推进农业农村领域减排固碳助力“双碳”目标成为迫在眉睫的问题。目前土壤固碳增汇的主要途径包括技术固碳即碳捕集、利用和封存（CCUS），以及生态系统固碳，但有关科学机制和实用技术还需研究突破。另一方面，土壤重金属污染、农林业废弃物等农业环境问题也是制约我国农业绿色发展和乡村振兴的重要因素，农田污染防治和废弃物资源化利用</w:t>
            </w:r>
            <w:r>
              <w:rPr>
                <w:rFonts w:hint="eastAsia" w:ascii="仿宋" w:hAnsi="仿宋" w:eastAsia="仿宋" w:cs="仿宋"/>
                <w:kern w:val="0"/>
                <w:sz w:val="28"/>
                <w:szCs w:val="28"/>
                <w:lang w:eastAsia="zh-CN"/>
              </w:rPr>
              <w:t>备受关注</w:t>
            </w:r>
            <w:r>
              <w:rPr>
                <w:rFonts w:hint="eastAsia" w:ascii="仿宋" w:hAnsi="仿宋" w:eastAsia="仿宋" w:cs="仿宋"/>
                <w:kern w:val="0"/>
                <w:sz w:val="28"/>
                <w:szCs w:val="28"/>
              </w:rPr>
              <w:t>，但实践中仍存在不少困难和挑战，尤其是急需兼顾减污和降碳的绿色低碳治理技术。充分考虑生命周期评价（LCA）以及农业生态系统和土壤、植物、生物质炭等固碳功能，对上述问题提供了潜在解决方案。</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00000"/>
                <w:kern w:val="0"/>
                <w:sz w:val="32"/>
                <w:szCs w:val="32"/>
              </w:rPr>
            </w:pPr>
            <w:r>
              <w:rPr>
                <w:rFonts w:hint="eastAsia" w:ascii="仿宋" w:hAnsi="仿宋" w:eastAsia="仿宋" w:cs="仿宋"/>
                <w:kern w:val="0"/>
                <w:sz w:val="28"/>
                <w:szCs w:val="28"/>
              </w:rPr>
              <w:t>拟通过本主题，合众之力，推动陆地生态系统土壤“固碳增汇”以及农林业废弃物资源化利用和重金属污染农田治理修复技术的创新发展，实现农业生态环境的“减污降碳”协同增效绿色治理，服务“双碳”目标、粮食安全、农业高质量发展和保障人民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1.陆地生态系统典型土壤的固碳增汇创新技术与有效措施</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2.农林业废弃物的生物质能源和炭化等资源再利用技术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3.高效率低成本全生命周期减污降碳农田绿色治理技术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ascii="仿宋" w:hAnsi="仿宋" w:eastAsia="仿宋" w:cs="仿宋"/>
                <w:b/>
                <w:bCs/>
                <w:color w:val="000000"/>
                <w:kern w:val="0"/>
                <w:sz w:val="32"/>
                <w:szCs w:val="32"/>
              </w:rPr>
            </w:pPr>
            <w:r>
              <w:rPr>
                <w:rFonts w:hint="eastAsia" w:ascii="仿宋" w:hAnsi="仿宋" w:eastAsia="仿宋" w:cs="仿宋"/>
                <w:kern w:val="0"/>
                <w:sz w:val="28"/>
                <w:szCs w:val="28"/>
              </w:rPr>
              <w:t>4.重金属污染土壤的固碳植物修复技术</w:t>
            </w:r>
          </w:p>
        </w:tc>
      </w:tr>
    </w:tbl>
    <w:p>
      <w:pPr>
        <w:widowControl/>
        <w:jc w:val="left"/>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3</w:t>
      </w:r>
      <w:r>
        <w:rPr>
          <w:rFonts w:hint="eastAsia" w:ascii="仿宋" w:hAnsi="仿宋" w:eastAsia="仿宋" w:cs="仿宋_GB2312"/>
          <w:b/>
          <w:bCs/>
          <w:sz w:val="32"/>
          <w:szCs w:val="32"/>
        </w:rPr>
        <w:t>（赛道一：环境与绿色科技）</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主题：工业领域减污降碳协同增效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“十四五”时期，我国已进入了实现生态环境质量改善由量变到质变的关键阶段，是中国全面打赢污染防治攻坚战、实现生态环境质量持续改善的关键五年，也是助力我国实现2030年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碳达峰和2060年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中和的关键期。推进减污降碳协同增效，已成为取得环境治理效益与气候减缓效益双赢，继而推动全社会绿色可持续转型和低碳美丽中国建设的重要抓手。工业领域的各类污染物排放占比均为最高，污染物主要源于涉及能源燃烧的加热、冶炼、锻造等工艺过程，以及涉及煤炭、天然气等燃料燃烧的火力发电过程。能源生产消费过程同样也是二氧化碳等温室气体排放的主要来源。工业领域的污染物排放同温室气体排放在时间和空间维度都存在着较高的同根同源性。如何在不同工业行业中实现污染物同温室气体协同治理、协同管控，实现减污和降碳的双赢，是关系到实现我国的环境治理与双碳目标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拟通过本主题，选择工业领域重点1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2个行业开展，</w:t>
            </w:r>
            <w:r>
              <w:rPr>
                <w:rFonts w:hint="eastAsia" w:ascii="仿宋" w:hAnsi="仿宋" w:eastAsia="仿宋" w:cs="仿宋"/>
                <w:strike w:val="0"/>
                <w:kern w:val="0"/>
                <w:sz w:val="28"/>
                <w:szCs w:val="28"/>
              </w:rPr>
              <w:t>结合该工业领域典型污染物及其环境归趋特征</w:t>
            </w:r>
            <w:r>
              <w:rPr>
                <w:rFonts w:hint="eastAsia" w:ascii="仿宋" w:hAnsi="仿宋" w:eastAsia="仿宋" w:cs="仿宋"/>
                <w:kern w:val="0"/>
                <w:sz w:val="28"/>
                <w:szCs w:val="28"/>
              </w:rPr>
              <w:t>，结合智慧科技，强化环境污染治理与碳减排的措施协同，推动工业领域全流程绿色发展，助力绿色制造、清洁生产改造。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1.工业领域重点行业碳及污染物排放测算</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2.工业领域重点行业减污降碳协同增效方案设计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3.工业领域重点行业减污降碳协同增效环境、气候及健康效益预测</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4.工业领域重点行业源头减污降碳的关键创新技术</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4</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kern w:val="0"/>
                <w:sz w:val="28"/>
                <w:szCs w:val="28"/>
                <w:highlight w:val="none"/>
              </w:rPr>
              <w:t>主题：金属资源的回收及循环利用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金、铜等</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在电子工业、化工等领域有不可替代的作用。清洁能源技术依赖锂、镍、锰、铜以及稀土金属。通过传统的矿石开采和冶炼获取这些金属资源具有能耗高，污染大等缺点。另外，金属是不可再生资源，人类对其持续增长的需求亟待开发可持续的资源获取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电子产品消费规模的不断扩大和更新换代速度的加快，电子垃圾已成为全球可持续发展的重大挑战之一。以锂、钴、镍、稀土、碲、铟、镓等为代表的清洁能源关键矿产是指对国家清洁能源产业和低碳经济发展的核心技术与环节至关重要、对绿色战略新兴产业发展不可或缺，同时又存在供应风险的矿产资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因此，回收金、铜</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清洁能源关键金属</w:t>
            </w:r>
            <w:r>
              <w:rPr>
                <w:rFonts w:hint="eastAsia" w:ascii="仿宋" w:hAnsi="仿宋" w:eastAsia="仿宋" w:cs="仿宋"/>
                <w:kern w:val="0"/>
                <w:sz w:val="28"/>
                <w:szCs w:val="28"/>
              </w:rPr>
              <w:t>等资源，可以将污染难题转化为经济效益，</w:t>
            </w:r>
            <w:r>
              <w:rPr>
                <w:rFonts w:hint="eastAsia" w:ascii="仿宋" w:hAnsi="仿宋" w:eastAsia="仿宋" w:cs="仿宋"/>
                <w:kern w:val="0"/>
                <w:sz w:val="28"/>
                <w:szCs w:val="28"/>
                <w:lang w:val="en-US" w:eastAsia="zh-CN"/>
              </w:rPr>
              <w:t>推动国家绿色清洁能源发展，</w:t>
            </w:r>
            <w:r>
              <w:rPr>
                <w:rFonts w:hint="eastAsia" w:ascii="仿宋" w:hAnsi="仿宋" w:eastAsia="仿宋" w:cs="仿宋"/>
                <w:kern w:val="0"/>
                <w:sz w:val="28"/>
                <w:szCs w:val="28"/>
              </w:rPr>
              <w:t>不仅对国民健康和环境安全意义重大，而且是实现“双碳”目标和构建循环经济体系的有效途径。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kern w:val="0"/>
                <w:sz w:val="28"/>
                <w:szCs w:val="28"/>
              </w:rPr>
              <w:t>本命题以“以实现</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资源的回收及循环利用”为目标，通过本主题内容的创新创意，探索资源回收再利用及低碳可持续发展的新思路和新技术方法。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1.电子垃圾回收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2.无氰化贵金属溶解技术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3.贵金属吸附及提取技术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r>
              <w:rPr>
                <w:rFonts w:hint="eastAsia" w:ascii="仿宋" w:hAnsi="仿宋" w:eastAsia="仿宋" w:cs="仿宋"/>
                <w:kern w:val="0"/>
                <w:sz w:val="28"/>
                <w:szCs w:val="28"/>
                <w:lang w:eastAsia="zh-CN"/>
              </w:rPr>
              <w:t>风能、太阳能</w:t>
            </w:r>
            <w:r>
              <w:rPr>
                <w:rFonts w:hint="eastAsia" w:ascii="仿宋" w:hAnsi="仿宋" w:eastAsia="仿宋" w:cs="仿宋"/>
                <w:kern w:val="0"/>
                <w:sz w:val="28"/>
                <w:szCs w:val="28"/>
                <w:lang w:val="en-US" w:eastAsia="zh-CN"/>
              </w:rPr>
              <w:t>等清洁能源</w:t>
            </w:r>
            <w:r>
              <w:rPr>
                <w:rFonts w:hint="eastAsia" w:ascii="仿宋" w:hAnsi="仿宋" w:eastAsia="仿宋" w:cs="仿宋"/>
                <w:kern w:val="0"/>
                <w:sz w:val="28"/>
                <w:szCs w:val="28"/>
                <w:lang w:eastAsia="zh-CN"/>
              </w:rPr>
              <w:t>生产</w:t>
            </w:r>
            <w:r>
              <w:rPr>
                <w:rFonts w:hint="eastAsia" w:ascii="仿宋" w:hAnsi="仿宋" w:eastAsia="仿宋" w:cs="仿宋"/>
                <w:kern w:val="0"/>
                <w:sz w:val="28"/>
                <w:szCs w:val="28"/>
                <w:lang w:val="en-US" w:eastAsia="zh-CN"/>
              </w:rPr>
              <w:t>中</w:t>
            </w:r>
            <w:r>
              <w:rPr>
                <w:rFonts w:hint="eastAsia" w:ascii="仿宋" w:hAnsi="仿宋" w:eastAsia="仿宋" w:cs="仿宋"/>
                <w:kern w:val="0"/>
                <w:sz w:val="28"/>
                <w:szCs w:val="28"/>
                <w:lang w:eastAsia="zh-CN"/>
              </w:rPr>
              <w:t>的关键稀有金属、</w:t>
            </w:r>
            <w:r>
              <w:rPr>
                <w:rFonts w:hint="eastAsia" w:ascii="仿宋" w:hAnsi="仿宋" w:eastAsia="仿宋" w:cs="仿宋"/>
                <w:kern w:val="0"/>
                <w:sz w:val="28"/>
                <w:szCs w:val="28"/>
                <w:lang w:val="en-US" w:eastAsia="zh-CN"/>
              </w:rPr>
              <w:t>对环境有害金属等</w:t>
            </w:r>
            <w:r>
              <w:rPr>
                <w:rFonts w:hint="eastAsia" w:ascii="仿宋" w:hAnsi="仿宋" w:eastAsia="仿宋" w:cs="仿宋"/>
                <w:kern w:val="0"/>
                <w:sz w:val="28"/>
                <w:szCs w:val="28"/>
              </w:rPr>
              <w:t>再提取与利用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28"/>
                <w:szCs w:val="28"/>
                <w:lang w:val="en-US" w:eastAsia="zh-CN"/>
              </w:rPr>
              <w:t>5.回收成本估算</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5</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主题：油气资源开发耦合碳捕集封存创新技术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海洋被誉为“蓝色国土”，蕴藏着丰富的油气资源，海上油气生产已经成为重要的能源增长极。但受到海洋开发开采设施特殊性的制约，生产开发的全过程存在能源消费过度与碳排放量大的现象。二氧化碳捕集、利用与封存（CCUS）被认为是未来大规模减少温室气体排放、减缓全球变暖最经济、可行的方法。旨</w:t>
            </w:r>
            <w:r>
              <w:rPr>
                <w:rFonts w:hint="eastAsia" w:ascii="仿宋" w:hAnsi="仿宋" w:eastAsia="仿宋" w:cs="仿宋"/>
                <w:kern w:val="0"/>
                <w:sz w:val="28"/>
                <w:szCs w:val="28"/>
                <w:lang w:eastAsia="zh-CN"/>
              </w:rPr>
              <w:t>在</w:t>
            </w:r>
            <w:r>
              <w:rPr>
                <w:rFonts w:hint="eastAsia" w:ascii="仿宋" w:hAnsi="仿宋" w:eastAsia="仿宋" w:cs="仿宋"/>
                <w:kern w:val="0"/>
                <w:sz w:val="28"/>
                <w:szCs w:val="28"/>
              </w:rPr>
              <w:t>将生产过程中排放的二氧化碳进行捕集，并投入新的生产过程中实现循环再利用与稳定封存。该技术目的之一是利用二氧化碳与地层石油混相融合降低原油的黏度和界面张力进行油气开采增产。同时，海底环境中二氧化碳多相态（超临界态、水合物态等）比海水溶解态具有更好的稳定性。由此既可以提升油气采收率和产量，将二氧化碳变“废”为“宝”，又可以将二氧化碳封存，实现“一举两得”，对我国海洋油气开发低碳转型和海洋环境保护具有重要意义。为贯彻落实习总书记“四个革命、一个合作”能源安全新战略、建设海洋强国战略以及“双碳”目标，聚焦油气资源开发前沿领域和低碳技术关键瓶颈，加强技术攻关。</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kern w:val="0"/>
                <w:sz w:val="28"/>
                <w:szCs w:val="28"/>
              </w:rPr>
              <w:t>请针对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但不限于</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以下</w:t>
            </w:r>
            <w:r>
              <w:rPr>
                <w:rFonts w:hint="eastAsia" w:ascii="仿宋" w:hAnsi="仿宋" w:eastAsia="仿宋" w:cs="仿宋"/>
                <w:kern w:val="0"/>
                <w:sz w:val="28"/>
                <w:szCs w:val="28"/>
                <w:lang w:val="en-US" w:eastAsia="zh-CN"/>
              </w:rPr>
              <w:t>关注</w:t>
            </w:r>
            <w:r>
              <w:rPr>
                <w:rFonts w:hint="eastAsia" w:ascii="仿宋" w:hAnsi="仿宋" w:eastAsia="仿宋" w:cs="仿宋"/>
                <w:kern w:val="0"/>
                <w:sz w:val="28"/>
                <w:szCs w:val="28"/>
              </w:rPr>
              <w:t>方面提出富有创造力、竞争力与说服力的创新设计解决方案或技术</w:t>
            </w:r>
            <w:r>
              <w:rPr>
                <w:rFonts w:hint="eastAsia" w:ascii="仿宋" w:hAnsi="仿宋" w:eastAsia="仿宋" w:cs="仿宋"/>
                <w:kern w:val="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1.海洋油气资源高效开发与利用技术或装备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2.海洋碳捕集、碳封存、海洋增汇新技术或装备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3.海底二氧化碳长期稳定封存验证技术或装备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4.基于二氧化碳捕集与封存的海洋环境监测与评估技术</w:t>
            </w:r>
          </w:p>
          <w:p>
            <w:pPr>
              <w:keepNext w:val="0"/>
              <w:keepLines w:val="0"/>
              <w:pageBreakBefore w:val="0"/>
              <w:widowControl w:val="0"/>
              <w:kinsoku/>
              <w:wordWrap/>
              <w:overflowPunct/>
              <w:topLinePunct w:val="0"/>
              <w:autoSpaceDE/>
              <w:autoSpaceDN/>
              <w:bidi w:val="0"/>
              <w:adjustRightInd/>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5.碳捕集与碳封存技术生命周期评估（能耗及</w:t>
            </w:r>
            <w:r>
              <w:rPr>
                <w:rFonts w:hint="eastAsia" w:ascii="仿宋" w:hAnsi="仿宋" w:eastAsia="仿宋" w:cs="仿宋"/>
                <w:kern w:val="0"/>
                <w:sz w:val="28"/>
                <w:szCs w:val="28"/>
                <w:lang w:val="en-AU"/>
              </w:rPr>
              <w:t>泄露</w:t>
            </w:r>
            <w:r>
              <w:rPr>
                <w:rFonts w:hint="eastAsia" w:ascii="仿宋" w:hAnsi="仿宋" w:eastAsia="仿宋" w:cs="仿宋"/>
                <w:kern w:val="0"/>
                <w:sz w:val="28"/>
                <w:szCs w:val="28"/>
              </w:rPr>
              <w:t>风险等）</w:t>
            </w:r>
          </w:p>
        </w:tc>
      </w:tr>
    </w:tbl>
    <w:p>
      <w:pPr>
        <w:rPr>
          <w:rFonts w:ascii="仿宋" w:hAnsi="仿宋" w:eastAsia="仿宋" w:cs="仿宋_GB2312"/>
          <w:sz w:val="32"/>
          <w:szCs w:val="32"/>
        </w:rPr>
      </w:pP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6</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lang w:val="zh-TW"/>
              </w:rPr>
              <w:t>主题：绿色氢能的高效低成本获取与利用技术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氢能作为一种零碳能源体系是构建现代清洁能源体系的重要组成部分，在践行“双碳”目标这一历史使命中承担着重要作用。目前，我国氢能产业发展势头强劲，但仍面临成本高、储运难和效率低等问题。为实现“双碳”目标，我国氢气年需求量将大幅增加。然而，目前全球制氢结构仍以天然气制备的灰氢和蓝氢为主，以可再生能源制取的绿色氢能占比还很小。长期来看，利用太阳能和风能等可再生能源电解水制取绿氢、同时实现可再生能源的存储是终极目标。近年来我国在风/光制氢领域发展迅速，大批示范项目已陆续开展，但太阳能和风能需要电池存储计算</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依然面临着效率低或成本高等巨大挑战，急需发展核心的关键技术和新材料。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在氢能的利用端，氢能兼具燃料、储能、化工原料等多种属性，在电力、交通、建筑、化工等多个行业具有广阔的应用空间。但是，由于氢能的储运技术不成熟，目前氢能的应用以就近消纳为主，多局限于传统化工生产领域。发展氢电双向转换及储能一体化技术对氢能多应用场景的推广具有重要意义。而作为氢能在交通领域应用的核心环节，氢燃料电池的成本和寿命一直是规模化应用</w:t>
            </w:r>
            <w:r>
              <w:rPr>
                <w:rFonts w:hint="eastAsia" w:ascii="仿宋" w:hAnsi="仿宋" w:eastAsia="仿宋" w:cs="仿宋"/>
                <w:kern w:val="0"/>
                <w:sz w:val="24"/>
                <w:szCs w:val="24"/>
                <w:lang w:eastAsia="zh-CN"/>
              </w:rPr>
              <w:t>的</w:t>
            </w:r>
            <w:r>
              <w:rPr>
                <w:rFonts w:hint="eastAsia" w:ascii="仿宋" w:hAnsi="仿宋" w:eastAsia="仿宋" w:cs="仿宋"/>
                <w:kern w:val="0"/>
                <w:sz w:val="24"/>
                <w:szCs w:val="24"/>
              </w:rPr>
              <w:t>最大掣肘。由于目前商业化的质子交换膜燃料电池基本上是使用基于铂金的催化剂，贵重金属的使用加上质子交换膜、双极板等高成本的关键材料，使得在目前规模化效应相对比较低的情况下整个燃料电池的成本非常高。如何降低燃料电池的成本、同时实现长的使用寿命和宽的环境适应性，是推动燃料电池产业化的重要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1.利用可再生能源获取绿色氢能的新技术和新材料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2.低成本、长寿命的氢燃料电池关键材料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3.高效氢能储运技术、氢电双向转换与一体化技术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4.绿色氢能获取与利用技术的实际应用</w:t>
            </w:r>
            <w:r>
              <w:rPr>
                <w:rFonts w:hint="eastAsia" w:ascii="仿宋" w:hAnsi="仿宋" w:eastAsia="仿宋" w:cs="仿宋"/>
                <w:kern w:val="0"/>
                <w:sz w:val="24"/>
                <w:szCs w:val="24"/>
                <w:lang w:val="en-US" w:eastAsia="zh-CN"/>
              </w:rPr>
              <w:t>和过程</w:t>
            </w:r>
            <w:r>
              <w:rPr>
                <w:rFonts w:hint="eastAsia" w:ascii="仿宋" w:hAnsi="仿宋" w:eastAsia="仿宋" w:cs="仿宋"/>
                <w:kern w:val="0"/>
                <w:sz w:val="24"/>
                <w:szCs w:val="24"/>
              </w:rPr>
              <w:t>安全性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4"/>
                <w:szCs w:val="24"/>
              </w:rPr>
              <w:t>5.绿色氢能获取与利用过程经济性，</w:t>
            </w:r>
            <w:r>
              <w:rPr>
                <w:rFonts w:hint="eastAsia" w:ascii="仿宋" w:hAnsi="仿宋" w:eastAsia="仿宋" w:cs="仿宋"/>
                <w:kern w:val="0"/>
                <w:sz w:val="24"/>
                <w:szCs w:val="24"/>
                <w:lang w:val="en-US" w:eastAsia="zh-CN"/>
              </w:rPr>
              <w:t>分析</w:t>
            </w:r>
            <w:r>
              <w:rPr>
                <w:rFonts w:hint="eastAsia" w:ascii="仿宋" w:hAnsi="仿宋" w:eastAsia="仿宋" w:cs="仿宋"/>
                <w:kern w:val="0"/>
                <w:sz w:val="24"/>
                <w:szCs w:val="24"/>
              </w:rPr>
              <w:t>成本效益等</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7</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220" w:type="dxa"/>
            <w:vAlign w:val="top"/>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主题：CO</w:t>
            </w:r>
            <w:r>
              <w:rPr>
                <w:rFonts w:hint="eastAsia" w:ascii="仿宋" w:hAnsi="仿宋" w:eastAsia="仿宋" w:cs="仿宋"/>
                <w:b/>
                <w:bCs/>
                <w:kern w:val="0"/>
                <w:sz w:val="28"/>
                <w:szCs w:val="28"/>
                <w:vertAlign w:val="subscript"/>
              </w:rPr>
              <w:t>2</w:t>
            </w:r>
            <w:r>
              <w:rPr>
                <w:rFonts w:hint="eastAsia" w:ascii="仿宋" w:hAnsi="仿宋" w:eastAsia="仿宋" w:cs="仿宋"/>
                <w:b/>
                <w:bCs/>
                <w:kern w:val="0"/>
                <w:sz w:val="28"/>
                <w:szCs w:val="28"/>
              </w:rPr>
              <w:t>价值循环利用之催化转化技术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的高效转化利用对缓解能源危机以及实现“碳中和”目标具有重要的战略意义。CO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加氢制烃类等高附加值产品将CO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与可再生能源有机结合，不仅有望解决环境问题，还可以缓解化石能源枯竭所带来的能源危机，具有非常广阔的研究前景。传统的金属氧化物催化剂通常需要较高的反应温度</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&gt;300oC</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来催化CO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加氢制甲醇，往往伴随着严重的逆水煤气变换</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RWGS</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反应，导致产生大量副产物一氧化碳</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CO)。在金属氧化物催化剂中引入过渡金属组分可以促进H</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的活化从而降低反应温度，但同时又容易导致CO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过度加氢到甲烷</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CH</w:t>
            </w:r>
            <w:r>
              <w:rPr>
                <w:rFonts w:hint="eastAsia" w:ascii="仿宋" w:hAnsi="仿宋" w:eastAsia="仿宋" w:cs="仿宋"/>
                <w:kern w:val="0"/>
                <w:sz w:val="28"/>
                <w:szCs w:val="28"/>
                <w:vertAlign w:val="subscript"/>
              </w:rPr>
              <w:t>4</w:t>
            </w:r>
            <w:r>
              <w:rPr>
                <w:rFonts w:hint="eastAsia" w:ascii="仿宋" w:hAnsi="仿宋" w:eastAsia="仿宋" w:cs="仿宋"/>
                <w:kern w:val="0"/>
                <w:sz w:val="28"/>
                <w:szCs w:val="28"/>
              </w:rPr>
              <w:t>)。金属/金属氧化物催化CO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加氢制甲醇体系中活性与选择性的相互制约，严重限制了其低温催化性能的提升。因此，为实现CO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低温高效加氢制烃类等高附加值产品，</w:t>
            </w:r>
            <w:r>
              <w:rPr>
                <w:rFonts w:hint="eastAsia" w:ascii="仿宋" w:hAnsi="仿宋" w:eastAsia="仿宋" w:cs="仿宋"/>
                <w:kern w:val="0"/>
                <w:sz w:val="28"/>
                <w:szCs w:val="28"/>
                <w:lang w:eastAsia="zh-CN"/>
              </w:rPr>
              <w:t>亟须寻求</w:t>
            </w:r>
            <w:r>
              <w:rPr>
                <w:rFonts w:hint="eastAsia" w:ascii="仿宋" w:hAnsi="仿宋" w:eastAsia="仿宋" w:cs="仿宋"/>
                <w:kern w:val="0"/>
                <w:sz w:val="28"/>
                <w:szCs w:val="28"/>
              </w:rPr>
              <w:t>新的低成本过渡金属化合物催化剂体系，控制催化加氢温度低于200 oC，进而提高CO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的单程转化率10%以上，并对全产业过程的能耗和经济成本进行必要的分析。</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本赛道关注CO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催化转化的高效催化剂体系，从材料选择、结构设计的角度提出有市场应用前景的催化剂，为实现低能耗、高效率的CO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转化利用开辟了新途径，达到实现减碳降碳的社会效益。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转化新途径与催化新技术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2.低成本CO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转化催化剂</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3.高效稳定的CO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电催化转化技术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4.模拟光合作用还原CO</w:t>
            </w:r>
            <w:r>
              <w:rPr>
                <w:rFonts w:hint="eastAsia" w:ascii="仿宋" w:hAnsi="仿宋" w:eastAsia="仿宋" w:cs="仿宋"/>
                <w:kern w:val="0"/>
                <w:sz w:val="28"/>
                <w:szCs w:val="28"/>
                <w:vertAlign w:val="subscript"/>
              </w:rPr>
              <w:t>2</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widowControl/>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8</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主题：基于减碳节能的光充储集成式电池设计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碳达峰与碳中和目标的提出，开发清洁能源低成本生产技术以及大规模低成本储能技术成为关键。从现有的清洁能源资源来看，太阳能是一种丰富.清洁.经济的能源。然而，其间歇性和不平衡性的特点要求必须与储能装置连接，以平衡能源供需，因此太阳能电池通常连接到可充电电池或电容器上。但这种复合型装置通常需要额外的电子设备，以使太阳能电池的电压输出与储能装置的输入电压要求相匹配，这增加了系统成本和能量损失。因此，开发具有光充电、储能集成式的二次供能装置，就显得优势明显，如光充电二次电池、光充电液流电池、光充电电容器等，这种电池将太阳能电池和储能装置集成在一起，去除了变压的需要，让光电压直接为储能装置充电，降低了组件串联的能量损失，提高了能量转化效率，从而起到减少碳排放、节约传统能源的社会效益。重点关注具有光响应性能的半导体材料、钙钛矿材料、染料分子等光敏材料作为光充电极，与具有离子嵌入/脱出功能的储能二次电池用正极的能级匹配与调谐作用，以及内部单元的集成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通过本专题集思广益，加深对光储充集成式二次电池的理解，进一步降低成本，提高能源转化与存储效率，促进相关产业的技术更新和研发推广，为社会环境和能源可持续发展做出重要贡献。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1.高效太阳能转化材料与技术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2.光充储电池一体式集成技术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3.光电转化与电荷存储双功能材料</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9</w:t>
      </w:r>
      <w:r>
        <w:rPr>
          <w:rFonts w:hint="eastAsia" w:ascii="仿宋" w:hAnsi="仿宋" w:eastAsia="仿宋" w:cs="仿宋_GB2312"/>
          <w:b/>
          <w:bCs/>
          <w:sz w:val="32"/>
          <w:szCs w:val="32"/>
        </w:rPr>
        <w:t>（赛道二：新材料与新能源）</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主题：火力发电碳捕集能耗</w:t>
            </w:r>
            <w:r>
              <w:rPr>
                <w:rFonts w:hint="eastAsia" w:ascii="仿宋" w:hAnsi="仿宋" w:eastAsia="仿宋" w:cs="仿宋"/>
                <w:b/>
                <w:bCs/>
                <w:kern w:val="0"/>
                <w:sz w:val="28"/>
                <w:szCs w:val="28"/>
                <w:lang w:val="en-US" w:eastAsia="zh-CN"/>
              </w:rPr>
              <w:t>分析</w:t>
            </w:r>
            <w:r>
              <w:rPr>
                <w:rFonts w:hint="eastAsia" w:ascii="仿宋" w:hAnsi="仿宋" w:eastAsia="仿宋" w:cs="仿宋"/>
                <w:b/>
                <w:bCs/>
                <w:kern w:val="0"/>
                <w:sz w:val="28"/>
                <w:szCs w:val="28"/>
              </w:rPr>
              <w:t>与碳</w:t>
            </w:r>
            <w:r>
              <w:rPr>
                <w:rFonts w:hint="eastAsia" w:ascii="仿宋" w:hAnsi="仿宋" w:eastAsia="仿宋" w:cs="仿宋"/>
                <w:b/>
                <w:bCs/>
                <w:kern w:val="0"/>
                <w:sz w:val="28"/>
                <w:szCs w:val="28"/>
                <w:lang w:eastAsia="zh-CN"/>
              </w:rPr>
              <w:t>泄露</w:t>
            </w:r>
            <w:r>
              <w:rPr>
                <w:rFonts w:hint="eastAsia" w:ascii="仿宋" w:hAnsi="仿宋" w:eastAsia="仿宋" w:cs="仿宋"/>
                <w:b/>
                <w:bCs/>
                <w:kern w:val="0"/>
                <w:sz w:val="28"/>
                <w:szCs w:val="28"/>
                <w:lang w:val="en-US" w:eastAsia="zh-CN"/>
              </w:rPr>
              <w:t>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火力发电以煤炭、石油和天然气等化石燃料为主要一次能源，是温室气体排放的主要工业源之一，占全国二氧化碳排放量近三分之一，我国燃煤发电比例高达60%左右，由于核能资源限制、可再生能源发电的稳定性等问题，在相当长时间内，火力发电依然是我国电力供应的重要基础，相应的碳捕集是碳达峰碳中和战略实施的重要技术基础。但是火力发电系统的碳捕集存在多种技术路径，各种技术的能耗特点、用能品质以及可再生能源替代应用存在很大的差异，带来的附加碳排放或碳泄露（碳捕获过程能耗的碳排放计算边界内由于碳捕获工艺带来其他工艺过程增加的碳排放）直接影响了火力发电系统的碳达峰与碳中和战略的实施。</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拟通过本主题，合众之力，结合材料创新与节能科技，推动低能耗和低碳泄露的火力发电系统碳捕集设计技术的发展，帮助推动全球火力发电系统低能耗碳捕集问题的解决，探索支持可持续发展的火力发电之路。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1.火力发电有机胺吸收碳捕获技术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2.碳捕获材料有机胺等的低能耗再生</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3.二氧化碳捕获后远距离运输需要的液化过程节能技术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4.二氧化碳捕获工艺中可再生能源的应用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Cs/>
                <w:kern w:val="0"/>
                <w:sz w:val="32"/>
                <w:szCs w:val="32"/>
              </w:rPr>
            </w:pPr>
            <w:r>
              <w:rPr>
                <w:rFonts w:hint="eastAsia" w:ascii="仿宋" w:hAnsi="仿宋" w:eastAsia="仿宋" w:cs="仿宋"/>
                <w:kern w:val="0"/>
                <w:sz w:val="28"/>
                <w:szCs w:val="28"/>
              </w:rPr>
              <w:t>5.火力发电机组灵活性调控技术与碳捕获工艺的协调技术</w:t>
            </w:r>
          </w:p>
        </w:tc>
      </w:tr>
    </w:tbl>
    <w:p>
      <w:pPr>
        <w:widowControl/>
        <w:jc w:val="left"/>
        <w:rPr>
          <w:rFonts w:ascii="仿宋" w:hAnsi="仿宋" w:eastAsia="仿宋" w:cs="仿宋_GB2312"/>
          <w:b/>
          <w:bCs/>
          <w:sz w:val="32"/>
          <w:szCs w:val="32"/>
        </w:rPr>
      </w:pPr>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10</w:t>
      </w:r>
      <w:r>
        <w:rPr>
          <w:rFonts w:hint="eastAsia" w:ascii="仿宋" w:hAnsi="仿宋" w:eastAsia="仿宋" w:cs="仿宋_GB2312"/>
          <w:b/>
          <w:bCs/>
          <w:sz w:val="32"/>
          <w:szCs w:val="32"/>
        </w:rPr>
        <w:t>（赛道三：电子与信息）</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主题：绿色低碳信息技术</w:t>
            </w:r>
            <w:r>
              <w:rPr>
                <w:rFonts w:hint="eastAsia" w:ascii="仿宋" w:hAnsi="仿宋" w:eastAsia="仿宋" w:cs="仿宋"/>
                <w:b/>
                <w:bCs/>
                <w:kern w:val="0"/>
                <w:sz w:val="28"/>
                <w:szCs w:val="28"/>
                <w:lang w:val="en-US" w:eastAsia="zh-CN"/>
              </w:rPr>
              <w:t>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信息技术主要包括传感技术、计算机与智能技术、通信技术和控制技术等管理和处理信息所采用的各种技术的总称。然而，在社会信息化、数字化、智能化的进程中，信息技术也成为耗能大户。有数据显示，2018年计算机、数据中心和网络大约消耗全球电力的10%，其中，有源终端和数据中心各消耗30%，网络消耗40%。截至2022年5月末，我国5G基站总数达170万个，占移动基站总数的16.7%，5G移动电话用户达4.28亿户。然而，5G基站建设和运营能耗偏高，电费居高不下。综上，信息技术在性能指标、使用效率、管理方式、实际部署等方面存在各种现实问题。那么，如何在享受信息技术带来的便捷性和高效性的同时，又可以有效控制其能耗，更好</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服务人类“双碳”的目标呢？</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拟通过本主题，合众之力，推动绿色低碳信息技术的发展，加强国家新一代信息技术的能耗管理和集约经营，探索绿色可持续发展之路。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1.5G基站能耗监测与管理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2.5G终端与核心网节能技术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3.5G敏捷切片与通存算一体节能优化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4.电信运营商数据中心与可再生能源耦合</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5.电信运营商数据中心余热利用</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11</w:t>
      </w:r>
      <w:r>
        <w:rPr>
          <w:rFonts w:hint="eastAsia" w:ascii="仿宋" w:hAnsi="仿宋" w:eastAsia="仿宋" w:cs="仿宋_GB2312"/>
          <w:b/>
          <w:bCs/>
          <w:sz w:val="32"/>
          <w:szCs w:val="32"/>
        </w:rPr>
        <w:t>（赛道三：电子与信息）</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主题：绿色高效大规模预训练AI技术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规模预训练模型是人工智能重要发展方向，其通过训练以执行大量数据上的特定任务获得具有通用的深度学习架构的模型。但据最近的研究发现，单一大模型在训练阶段产生的二氧化碳量甚至可达284吨，远超一辆家用轿车在其寿命内排放的二氧化碳量；而模型的规模还一直在增长。尽管人工智能算法性能取得了长足的发展，但如何高效去训练这些大规模预训练模型非常有挑战意义，对低碳环保意义巨大的。另一方面，人工智能等技术为转型低碳社会开辟了新的途径，绿色计算（绿色AI）相关技术对减碳贡献将越来越突出，绿色算力和算法应用于传统行业和数据中心，潜力巨大。因此，如何创新性地设计兼顾性能和能耗的绿色算法、优化流程来降低算力，同时通过优化数据中心能耗，更好地评估兼顾性能和能耗的预训练模型在当下非常迫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拟通过本主题，设计合理地高效大规模预训练模型的性能衡量指标，推动低能耗</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大规模预训练模型和AI算法技术的发展，帮助推动云端碳排放减排问题的解决，探索可持续发展的人工智能赋能绿色计算之路。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1.利用技术优化，降低云端数据中心能耗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2.开发低能耗的超大规模预训练模型</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3.对云端用电进行检测，优化系统，实现低碳数据中心</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4.监控碳排放，优化机组控制</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5.设计更科学地评估兼顾性能和能耗的AI算法的指标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6.设计人工智能碳</w:t>
            </w:r>
            <w:r>
              <w:rPr>
                <w:rFonts w:hint="eastAsia" w:ascii="仿宋" w:hAnsi="仿宋" w:eastAsia="仿宋" w:cs="仿宋"/>
                <w:kern w:val="0"/>
                <w:sz w:val="28"/>
                <w:szCs w:val="28"/>
                <w:lang w:eastAsia="zh-CN"/>
              </w:rPr>
              <w:t>抵消</w:t>
            </w:r>
            <w:r>
              <w:rPr>
                <w:rFonts w:hint="eastAsia" w:ascii="仿宋" w:hAnsi="仿宋" w:eastAsia="仿宋" w:cs="仿宋"/>
                <w:kern w:val="0"/>
                <w:sz w:val="28"/>
                <w:szCs w:val="28"/>
              </w:rPr>
              <w:t>策略</w:t>
            </w:r>
          </w:p>
        </w:tc>
      </w:tr>
    </w:tbl>
    <w:p>
      <w:pPr>
        <w:rPr>
          <w:rFonts w:ascii="仿宋" w:hAnsi="仿宋" w:eastAsia="仿宋" w:cs="仿宋_GB2312"/>
          <w:sz w:val="32"/>
          <w:szCs w:val="32"/>
        </w:rPr>
      </w:pPr>
      <w:r>
        <w:rPr>
          <w:rFonts w:ascii="仿宋" w:hAnsi="仿宋" w:eastAsia="仿宋" w:cs="仿宋_GB2312"/>
          <w:sz w:val="32"/>
          <w:szCs w:val="32"/>
        </w:rPr>
        <w:br w:type="page"/>
      </w:r>
    </w:p>
    <w:p>
      <w:pPr>
        <w:jc w:val="center"/>
        <w:rPr>
          <w:rFonts w:ascii="仿宋" w:hAnsi="仿宋" w:eastAsia="仿宋"/>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主题：提升5G基站功率放大器效率减少碳排放关键技术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实现 2030 年前碳达峰、2060 年前碳中和的“双碳”目标是党中央经过深思熟虑做出 的重大战略部署，也是中国对人类命运共同体应对气候变化的庄严承诺。我国正积极全 面布局 5G 产业，根据赛迪预计未来几年内我国将建设超过 1140 万个 5G 基站。2025 年该行业将占全球电量消耗总量的五分之一，5G 基站已成为影响通信行业碳排放的最重 要基础设施。为达成“双碳”目标，通信行业节能减碳势在必行。 基站能耗的主要问题是发射机的射频功率放大器效率问题，提升射频功率放大器的 效率是解决能耗问题的关键技术。提升功率放大器的效率需要使其工作在饱和区，导致线性度下降。功率放大器输出信号失真，5G 通信信号为非恒包络波形，调制方式复杂，产生更严重的谐波和交调等电磁干扰信号，落在带内引起信噪比降低，误码率上升，甚至无法解调；落在带外引起邻道抑制比降低，干扰其他通信频段，导致邻近 信道接收信号信噪比降低，造成严重的电磁兼容问题。</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因此提升功率放大器的效率并抑制非线性是减少5G基站碳排放的重要举措，是通信行业减少能耗的难点问题和关键问题。那么，如何利用功率放大器效率提升技术降低能耗，降低成本，更好地促进节能减排？可在器件级通过物理仿真优化器件结构和工艺，提升输出功率，降低峰值电场，抑制自热效应等。在电路级采用谐波匹配、偏置电路、温度补偿电路、功率合成等关键技术提升线性度、功率和效率。在系统级通过数字预失真、热仿真提升效率和线性度。</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拟通过本主题，合众之力，综合功率放大器升效降碳技术，探索支持可持续发展的通信技术。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1.提升功率放大器效率技术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2.提升功率放大器线性度技术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3.提升功率放大器功率技术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4"/>
                <w:szCs w:val="24"/>
              </w:rPr>
              <w:t>4.提升基站高效散热技术</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主题：多模式能量采集与管理技术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能量采集技术是从自然环境中收集热能、电磁能、机械能等各种形式能量的技术，近年来已成为低功率电子设备的一种无电池设计趋势，在物联网、工业控制、医疗电子等诸多领域获得广泛应用。与容量有限的常规电池相比，能量采集技术能够延长电子设备的运行，降低更换电池等设备维护成本，并有效减少对常规能源消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然而，能量采集所能够提供的电力输出的性能高度依赖于外界环境，强度较弱且具有随机性，必须结合优化的电源管理机制，才能为电子设备提供较为稳定、持续的能量供应。此外，结合多种类型的能量采集技术（例如同时收集光能和电磁能），可有效提高供电的稳定性。</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围绕“双碳”目标，以“绿色通信”为主题，针对物联网或无线传感网等低功率通信网络，提出一项创新设计项目，为人们的日常生活提供更加绿色、环保、低碳的通信服务。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本赛道聚焦于创新设计，设计方案需展现具体的设计项目，鼓励设计项目与科技成果相结合，设计形式包括而不限于产品设计、服务设计、视觉传达设计、社会创新设计、公共设施设计等。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1.基于能量采集的智慧城市或工业控制创新性应用设计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2.在该应用中，融合多种（两种或以上）能量采集方式的电子设备终端供电设计方案</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3.在该应用中，提高能量使用效率和设备运行稳定性的电源管理设计方案</w:t>
            </w:r>
          </w:p>
        </w:tc>
      </w:tr>
    </w:tbl>
    <w:p>
      <w:pPr>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主题：碳排放、碳汇的计量监测应用及解决方案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全球及地区碳排放和碳汇的计量监测</w:t>
            </w:r>
            <w:r>
              <w:rPr>
                <w:rFonts w:hint="eastAsia" w:ascii="仿宋" w:hAnsi="仿宋" w:eastAsia="仿宋" w:cs="仿宋"/>
                <w:kern w:val="0"/>
                <w:sz w:val="28"/>
                <w:szCs w:val="28"/>
                <w:lang w:eastAsia="zh-CN"/>
              </w:rPr>
              <w:t>成为</w:t>
            </w:r>
            <w:r>
              <w:rPr>
                <w:rFonts w:hint="eastAsia" w:ascii="仿宋" w:hAnsi="仿宋" w:eastAsia="仿宋" w:cs="仿宋"/>
                <w:kern w:val="0"/>
                <w:sz w:val="28"/>
                <w:szCs w:val="28"/>
              </w:rPr>
              <w:t>评估和跟踪碳中和进程的重要手段，可以帮助国家和地区制定有效的气候政策、监督和评估减排措施的实施效果，并为国际社会合作提供基础数据。为了实现全球和地区的碳排放和碳汇的计量监测，需要开发和应用各种技术和方法。这包括遥感技术、气象观测、地面测量和模型模拟等。同时，需要依据国际标准和规范，以确保监测结果的可比性和一致性。然而，全球及地区碳排放、碳汇的计量监测仍面临一些挑战。其中之一是数据质量和评价标准问题。要准确计量排放和吸收，需要可靠的数据来源和一致性的计量标准。另一个方面是监测覆盖的不完整性，一些特殊的碳排放源和碳汇地区，如极地地区、热带雨林等，由于环境复杂性和地理位置的限制，监测工作面临更大的困难。此外，技术和方法的不断发展也需要持续</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研究和创新，以提高计量监测的准确性和效率。在有效解决上述问题的基础上，通过全球和地区的碳排放和碳汇的计量监测应用，可以更好地理解和评估人类活动对气候变化的影响，为碳减排和碳增汇方案的制定提供科学依据。并且有助于推动可持续发展和低碳经济转型，保护生态环境，改善人类福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1.大数据和人工智能在碳排放、碳汇监测中的应用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2.基于遥感技术和物联网的监测系统构建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3.碳循环模型的开发和改进</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4.碳排放和碳汇的区域特征和影响因素研究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5.碳减排和碳增汇的策略研究</w:t>
            </w:r>
          </w:p>
        </w:tc>
      </w:tr>
    </w:tbl>
    <w:p>
      <w:pPr>
        <w:widowControl/>
        <w:jc w:val="center"/>
        <w:rPr>
          <w:rFonts w:ascii="仿宋" w:hAnsi="仿宋" w:eastAsia="仿宋" w:cs="仿宋_GB2312"/>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20"/>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w:t>
            </w:r>
            <w:bookmarkStart w:id="27" w:name="_Hlk136447372"/>
            <w:r>
              <w:rPr>
                <w:rFonts w:hint="eastAsia" w:ascii="仿宋" w:hAnsi="仿宋" w:eastAsia="仿宋" w:cs="仿宋"/>
                <w:b/>
                <w:bCs/>
                <w:kern w:val="0"/>
                <w:sz w:val="28"/>
                <w:szCs w:val="28"/>
              </w:rPr>
              <w:t>城镇低碳智慧供热（供冷）技术</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我国“双碳”战略的持续推进，在构建清洁低碳、安全高效能源体系与大力发展清洁能源供热的新时代背景下，供热行业节能转型势在必行。供热行业发展正式向清洁低碳、高效灵活的智慧供热迈进。随着数字化转型升级深入推进，以信息技术与人工智能技术推动供热技术智慧升级，实现智慧供热，是提高能源利用率的重要手段。</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智慧供热致力于打造基于新一代人工智能、物联网、5G</w:t>
            </w:r>
            <w:r>
              <w:rPr>
                <w:rFonts w:hint="eastAsia" w:ascii="仿宋" w:hAnsi="仿宋" w:eastAsia="仿宋" w:cs="仿宋"/>
                <w:kern w:val="0"/>
                <w:sz w:val="28"/>
                <w:szCs w:val="28"/>
                <w:lang w:eastAsia="zh-CN"/>
              </w:rPr>
              <w:t>通信以及</w:t>
            </w:r>
            <w:r>
              <w:rPr>
                <w:rFonts w:hint="eastAsia" w:ascii="仿宋" w:hAnsi="仿宋" w:eastAsia="仿宋" w:cs="仿宋"/>
                <w:kern w:val="0"/>
                <w:sz w:val="28"/>
                <w:szCs w:val="28"/>
              </w:rPr>
              <w:t>大数据、云计算等信息技术的综合解决方案。通过运用感知技术、空间定位、物联网等技术全面连接供热系统中的热源、热网、热力站、热用户和终端智能设备，充分利用大数据、云计算、人工智能等技术优化控制供热系统中的各个设备，实现节能降耗、全面管理运行；实现大数据的实时监管、量化，数据化房屋能耗诊断</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实现节能环保、能源利用率最佳的供热愿景。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智慧供热符合国家节能减排、可持续发展理念，可以最大限度</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实现节能和减少碳排放，对于能源节约和减少碳排放等方面都具有重要现实意义，可以为“碳达峰、碳中和”重大战略目标的实现提供助力。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智慧供热（供冷）系统评价体系</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2.智慧供热（供冷）系统实现技术及架构</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3.智慧供热（供冷）系统数字化平台建设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4.智慧供热（供冷）系统调控与运维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5.智慧供热（供冷）建筑能源一体化系统方案</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6</w:t>
      </w:r>
      <w:r>
        <w:rPr>
          <w:rFonts w:hint="eastAsia" w:ascii="仿宋" w:hAnsi="仿宋" w:eastAsia="仿宋" w:cs="仿宋_GB2312"/>
          <w:b/>
          <w:bCs/>
          <w:sz w:val="32"/>
          <w:szCs w:val="32"/>
        </w:rPr>
        <w:t>（赛道四：设计与制造）</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317"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主题：绿色建筑（室内）与智慧科技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9"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建筑在中国社会总能耗中的占比可达到30%</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40%，如何进行建筑的节能减排，是实现碳中和的重要问题。针对这一问题，需要通过提升建筑自身节能水平、优化建筑能源系统效率与增强建筑用能柔性调节能力等路径协同实现。其中，建筑用能的柔性调节主要是指建筑可以通过负荷转移、负荷中断及有效储能等方式改变自身用能曲线，提升与可再生能源发电曲线的时间匹配度，增加可再生能源的实际消纳，降低碳排放。随着信息科技的不断发展，如何利用当下的智慧技术，与绿色建筑技术进行交叉融合，创新性</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解决建筑节能减排问题，从而实现建筑领域的“双碳”目标呢？</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拟通过本主题，合众之力，结合智慧科技，推动绿色建筑技术的发展，帮助建筑节能减排问题的解决，助力零碳建筑的实现。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设计需结合节能减排量化分析</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1.智慧节能建筑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2.建筑节能设备</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3.建筑内用能的柔性调节</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17</w:t>
      </w:r>
      <w:r>
        <w:rPr>
          <w:rFonts w:hint="eastAsia" w:ascii="仿宋" w:hAnsi="仿宋" w:eastAsia="仿宋" w:cs="仿宋_GB2312"/>
          <w:b/>
          <w:bCs/>
          <w:sz w:val="32"/>
          <w:szCs w:val="32"/>
        </w:rPr>
        <w:t>（赛道四：设计与制造）</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Cs/>
                <w:kern w:val="0"/>
                <w:sz w:val="32"/>
                <w:szCs w:val="32"/>
              </w:rPr>
            </w:pPr>
            <w:r>
              <w:rPr>
                <w:rFonts w:hint="eastAsia" w:ascii="仿宋" w:hAnsi="仿宋" w:eastAsia="仿宋" w:cs="仿宋"/>
                <w:b/>
                <w:bCs/>
                <w:kern w:val="0"/>
                <w:sz w:val="28"/>
                <w:szCs w:val="28"/>
              </w:rPr>
              <w:t>主题：低碳制造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实现双碳目标的策略，主要有三种：节能减排、能源替代、技术升级。各行各业节能减排是“碳达峰”的重要手段，而能源替代是“碳中和”的主要途径，技术升级则是“双碳”目标实现的关键。</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制造业是实现“双碳”目标的重要环节，我们提倡“低碳制造”。</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1.节能减排，建立产品全生命周期的碳排放模型，分析产品中的碳足迹和碳成本，从碳排放整体考虑优化产品的制造、流通等环节。</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2.能源替代，搭建绿色生产平台，比如使用太阳能、风能等新能源降低化石能源的消耗。</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3.技术升级，采用数字化、机器人、人工智能、精益制造、增材制造（3D打印）等技术对制造生产中高能耗环节进行技术改造和升级，实现减碳的目的。</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制造业包含的行业范围很大，参赛者可以结合自己熟悉的行业，从节能减排、能源替代和技术升级三个方面进行创意设计，实现低碳制造。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1.特定产品全生命周期过程中碳排量的统计、测量、定价方法，如碳足迹等</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2.特定制造行业的碳排放分析和优化技术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3.特定制造行业绿色生产制造平台技术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4.特定制造环节技术升级及其碳排放消耗对比分析</w:t>
            </w:r>
          </w:p>
        </w:tc>
      </w:tr>
    </w:tbl>
    <w:p>
      <w:pPr>
        <w:jc w:val="center"/>
        <w:rPr>
          <w:rFonts w:ascii="仿宋" w:hAnsi="仿宋" w:eastAsia="仿宋" w:cs="仿宋_GB2312"/>
          <w:b/>
          <w:bCs/>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8</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主题：构筑智能化产品设计制造生产线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达标与社会生产生活密切相关。工业社会之前人类的生产生活就是一种生态低碳的方式，工业革命导致大规模社会化大生产、同时也带来行业的细分，生活必备品的生产制造也失去了手工作坊的工匠劳作模式，如集“量体</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打样</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制作”为一体的裁缝制衣，变成了“服装设计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批量加工”的服装生产方式；“根据需求</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就地取材</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特色木工细活”的家具制作过程，变成了“家具设计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部件批量定制</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集合装配”的家具生产工业；“因地制宜-因材就用</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工匠砌筑-自然装饰”的自主建房途径，变成了“专业设计师设计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工厂构件加工</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施工队现场施工”的大规模房屋建造工业。因此也带来了巨量能耗、环境污染、破坏生态、不可持续等等问题痼疾，当人类反思，如今渴望回归之前生态低碳的生产生活状态。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新科学新技术的突飞猛进正在推动人类步入智能社会，智能技术有可能使人类重返通过“人力”来满足生产生活需求的社会，当然，这个人力是机器人的力量，智能系统及智能机器将彻底解放人类，它们将替代人类进行高效节能、精致高质、低碳环保的生产制造，人们又可以回到生态低碳的慢生活境地。这样，社会生产及社会生活将彻底结束高排放高耗能的时代，最终实现双碳达标。</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为此，本</w:t>
            </w:r>
            <w:r>
              <w:rPr>
                <w:rFonts w:hint="eastAsia" w:ascii="仿宋" w:hAnsi="仿宋" w:eastAsia="仿宋" w:cs="仿宋"/>
                <w:kern w:val="0"/>
                <w:sz w:val="28"/>
                <w:szCs w:val="28"/>
                <w:lang w:val="en-US" w:eastAsia="zh-CN"/>
              </w:rPr>
              <w:t>赛题</w:t>
            </w:r>
            <w:r>
              <w:rPr>
                <w:rFonts w:hint="eastAsia" w:ascii="仿宋" w:hAnsi="仿宋" w:eastAsia="仿宋" w:cs="仿宋"/>
                <w:kern w:val="0"/>
                <w:sz w:val="28"/>
                <w:szCs w:val="28"/>
              </w:rPr>
              <w:t>要求参赛者提交建设性方案，构筑智能化产品设计制造生产线，为即将到来的智能化生产生活社会进行积极的准备。参赛者可以从衣食住行任一行业出发，构想一条产品生产线，它应该基于智能技术、应该是某一</w:t>
            </w:r>
            <w:r>
              <w:rPr>
                <w:rFonts w:hint="eastAsia" w:ascii="仿宋" w:hAnsi="仿宋" w:eastAsia="仿宋" w:cs="仿宋"/>
                <w:kern w:val="0"/>
                <w:sz w:val="28"/>
                <w:szCs w:val="28"/>
                <w:lang w:eastAsia="zh-CN"/>
              </w:rPr>
              <w:t>生活必需品</w:t>
            </w:r>
            <w:r>
              <w:rPr>
                <w:rFonts w:hint="eastAsia" w:ascii="仿宋" w:hAnsi="仿宋" w:eastAsia="仿宋" w:cs="仿宋"/>
                <w:kern w:val="0"/>
                <w:sz w:val="28"/>
                <w:szCs w:val="28"/>
              </w:rPr>
              <w:t>的设计制造全过程集约型生产线，它是一种新型的社会生产组织方式，是一种高效节能、生态环保的产品设计制造或设计建造工艺模式</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设计需结合节能减排量化分析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w:t>
            </w:r>
          </w:p>
        </w:tc>
      </w:tr>
    </w:tbl>
    <w:p>
      <w:pPr>
        <w:widowControl/>
        <w:jc w:val="left"/>
        <w:rPr>
          <w:rFonts w:ascii="仿宋" w:hAnsi="仿宋" w:eastAsia="仿宋" w:cs="仿宋_GB2312"/>
          <w:sz w:val="32"/>
          <w:szCs w:val="32"/>
        </w:rPr>
      </w:pPr>
    </w:p>
    <w:p>
      <w:pPr>
        <w:widowControl/>
        <w:jc w:val="left"/>
        <w:rPr>
          <w:rFonts w:ascii="仿宋_GB2312" w:hAnsi="仿宋_GB2312" w:eastAsia="仿宋_GB2312" w:cs="仿宋_GB2312"/>
          <w:b/>
          <w:bCs/>
          <w:sz w:val="36"/>
          <w:szCs w:val="36"/>
        </w:rPr>
      </w:pPr>
      <w:r>
        <w:rPr>
          <w:rFonts w:ascii="仿宋_GB2312" w:hAnsi="仿宋_GB2312" w:eastAsia="仿宋_GB2312" w:cs="仿宋_GB2312"/>
          <w:b/>
          <w:bCs/>
          <w:sz w:val="36"/>
          <w:szCs w:val="36"/>
        </w:rPr>
        <w:br w:type="page"/>
      </w:r>
    </w:p>
    <w:p>
      <w:pPr>
        <w:snapToGrid w:val="0"/>
        <w:spacing w:before="120" w:beforeLines="50" w:after="120" w:afterLines="50" w:line="500" w:lineRule="exact"/>
        <w:jc w:val="center"/>
        <w:rPr>
          <w:rFonts w:ascii="仿宋_GB2312" w:hAnsi="仿宋_GB2312" w:eastAsia="仿宋_GB2312" w:cs="仿宋_GB2312"/>
          <w:b/>
          <w:bCs/>
          <w:sz w:val="36"/>
          <w:szCs w:val="36"/>
        </w:rPr>
      </w:pPr>
      <w:bookmarkStart w:id="28" w:name="_Hlk137116890"/>
      <w:r>
        <w:rPr>
          <w:rFonts w:hint="eastAsia" w:ascii="仿宋" w:hAnsi="仿宋" w:eastAsia="仿宋" w:cs="仿宋_GB2312"/>
          <w:b/>
          <w:bCs/>
          <w:sz w:val="32"/>
          <w:szCs w:val="32"/>
        </w:rPr>
        <w:t>命题1</w:t>
      </w:r>
      <w:r>
        <w:rPr>
          <w:rFonts w:ascii="仿宋" w:hAnsi="仿宋" w:eastAsia="仿宋" w:cs="仿宋_GB2312"/>
          <w:b/>
          <w:bCs/>
          <w:sz w:val="32"/>
          <w:szCs w:val="32"/>
        </w:rPr>
        <w:t>9</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宋体"/>
                <w:b/>
                <w:bCs/>
                <w:kern w:val="0"/>
                <w:sz w:val="28"/>
                <w:szCs w:val="28"/>
              </w:rPr>
            </w:pPr>
            <w:r>
              <w:rPr>
                <w:rFonts w:hint="eastAsia" w:ascii="仿宋" w:hAnsi="仿宋" w:eastAsia="仿宋" w:cs="仿宋"/>
                <w:b/>
                <w:bCs/>
                <w:kern w:val="0"/>
                <w:sz w:val="28"/>
                <w:szCs w:val="28"/>
              </w:rPr>
              <w:t>主题：</w:t>
            </w:r>
            <w:bookmarkStart w:id="29" w:name="_Hlk137217351"/>
            <w:r>
              <w:rPr>
                <w:rFonts w:hint="eastAsia" w:ascii="仿宋" w:hAnsi="仿宋" w:eastAsia="仿宋" w:cs="仿宋"/>
                <w:b/>
                <w:bCs/>
                <w:kern w:val="0"/>
                <w:sz w:val="28"/>
                <w:szCs w:val="28"/>
              </w:rPr>
              <w:t>面向制冷系统节能低碳的新型装备设计与开发</w:t>
            </w:r>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1"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CN"/>
              </w:rPr>
            </w:pPr>
            <w:r>
              <w:rPr>
                <w:rFonts w:hint="eastAsia" w:ascii="仿宋" w:hAnsi="仿宋" w:eastAsia="仿宋" w:cs="仿宋"/>
                <w:b/>
                <w:bCs/>
                <w:kern w:val="0"/>
                <w:sz w:val="28"/>
                <w:szCs w:val="28"/>
                <w:lang w:val="zh-TW"/>
              </w:rPr>
              <w:t>背景情况概述</w:t>
            </w:r>
            <w:r>
              <w:rPr>
                <w:rFonts w:hint="eastAsia" w:ascii="仿宋" w:hAnsi="仿宋" w:eastAsia="仿宋" w:cs="仿宋"/>
                <w:b/>
                <w:bCs/>
                <w:kern w:val="0"/>
                <w:sz w:val="28"/>
                <w:szCs w:val="28"/>
                <w:lang w:val="zh-TW"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碳排放来源统计显示，暖通空调系统能耗占建筑总能耗的50％以上，约占社会总能耗20％以上，制冷行业的发展与空调的大面积应用造成的整体能耗水平也在不断提高，实现制冷空调行业的碳达峰乃至碳中和面临巨大挑战，同时，从整个行业生命周期的角度去分析减碳过程也至关重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幅度提升产品和系统能效，是多年来制冷行业重点开展的节能工作之一。制冷空调设备常见的换热部件包括蒸发器、冷凝器、过冷器、中间换热器等，换热设备的传热特性对制冷空调设备的整机性能具有重要的影响。通过传热机理及强化传热的研究，开发高效、紧凑、重量轻、可靠性高、经济性好的新型换热器、实现制冷剂的绿色替代，以及提升制冷系统实际运行能效是当前制冷行业围绕“双碳”目标开展研究的重点工作。</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宋体"/>
                <w:kern w:val="0"/>
                <w:sz w:val="32"/>
                <w:szCs w:val="32"/>
              </w:rPr>
            </w:pPr>
            <w:r>
              <w:rPr>
                <w:rFonts w:hint="eastAsia" w:ascii="仿宋" w:hAnsi="仿宋" w:eastAsia="仿宋" w:cs="仿宋"/>
                <w:kern w:val="0"/>
                <w:sz w:val="28"/>
                <w:szCs w:val="28"/>
              </w:rPr>
              <w:t>拟通过本主题，合众之力，结合材料创新与节能科技，探讨制冷空调行业节能减排、助力“碳中和”的发展路线，推动行业低能耗和低碳技术的发展。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lang w:val="zh-TW"/>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1.高效冷凝器/蒸发器设计与研发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2.新型绿色工质的研发与应用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宋体"/>
                <w:bCs/>
                <w:kern w:val="0"/>
                <w:sz w:val="32"/>
                <w:szCs w:val="32"/>
              </w:rPr>
            </w:pPr>
            <w:r>
              <w:rPr>
                <w:rFonts w:hint="eastAsia" w:ascii="仿宋" w:hAnsi="仿宋" w:eastAsia="仿宋" w:cs="仿宋"/>
                <w:kern w:val="0"/>
                <w:sz w:val="28"/>
                <w:szCs w:val="28"/>
              </w:rPr>
              <w:t>3.制冷系统节能低碳优化设计及能效提升</w:t>
            </w:r>
          </w:p>
        </w:tc>
      </w:tr>
      <w:bookmarkEnd w:id="28"/>
    </w:tbl>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20</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snapToGrid w:val="0"/>
              <w:spacing w:line="580" w:lineRule="exact"/>
              <w:rPr>
                <w:rFonts w:ascii="仿宋" w:hAnsi="仿宋" w:eastAsia="仿宋" w:cs="仿宋"/>
                <w:kern w:val="0"/>
                <w:sz w:val="32"/>
                <w:szCs w:val="32"/>
              </w:rPr>
            </w:pPr>
            <w:r>
              <w:rPr>
                <w:rFonts w:hint="eastAsia" w:ascii="仿宋" w:hAnsi="仿宋" w:eastAsia="仿宋" w:cs="仿宋"/>
                <w:b/>
                <w:bCs/>
                <w:kern w:val="0"/>
                <w:sz w:val="28"/>
                <w:szCs w:val="28"/>
              </w:rPr>
              <w:t>主题：超特大城市脱碳技术与路径选择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城市是实现碳达峰、碳中和目标的主战场，目前承载中国60%的常住人口，碳排放量占中国排放总量的70%以上。然而，目前城市在实现碳达峰、碳中和上仍面临较多限制，包括空间制约、能源制约、环境制约、技术制约等多种制约因素，缺乏强有力的科技支撑与政策引导。本主题以中国超特大城市人为源碳排放演变路径与重点行业碳代谢驱动因素为切入点，探索建立中国超特大城市碳代谢驱动因素评估和碳中和路径规划的系统性技术评估框架，针对城市不同部门尤其是对城市碳排放贡献最大的行业部门开展脱碳技术与路径选择研究，探索超特大城市减污降碳协同增效的可行性道路。如何利用环境系统建模、建筑群用能建模、大数据挖掘与数值模拟算法，实现对超特大城市基础设施碳代谢精准建模表征与系统性量化分析，辅以城市碳监测评估方案，开展城市脱碳技术与路径选择研究，建立支撑超特大城市实现双碳目标的系统性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1.超特大城市</w:t>
            </w:r>
            <w:r>
              <w:rPr>
                <w:rFonts w:hint="eastAsia" w:ascii="仿宋" w:hAnsi="仿宋" w:eastAsia="仿宋" w:cs="仿宋"/>
                <w:kern w:val="0"/>
                <w:sz w:val="28"/>
                <w:szCs w:val="28"/>
                <w:lang w:val="en-US" w:eastAsia="zh-CN"/>
              </w:rPr>
              <w:t>空间人口结构、经济发展对碳减排影响</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2.城市碳代谢</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3.脱碳技术路径</w:t>
            </w:r>
          </w:p>
        </w:tc>
      </w:tr>
    </w:tbl>
    <w:p>
      <w:pPr>
        <w:keepNext w:val="0"/>
        <w:keepLines w:val="0"/>
        <w:pageBreakBefore w:val="0"/>
        <w:widowControl w:val="0"/>
        <w:kinsoku/>
        <w:wordWrap/>
        <w:overflowPunct/>
        <w:topLinePunct w:val="0"/>
        <w:autoSpaceDE/>
        <w:autoSpaceDN/>
        <w:bidi w:val="0"/>
        <w:adjustRightInd/>
        <w:snapToGrid/>
        <w:spacing w:line="312" w:lineRule="auto"/>
        <w:ind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rPr>
        <w:t>说明：</w:t>
      </w:r>
      <w:r>
        <w:rPr>
          <w:rFonts w:hint="eastAsia" w:ascii="仿宋" w:hAnsi="仿宋" w:eastAsia="仿宋" w:cs="仿宋"/>
          <w:kern w:val="0"/>
          <w:sz w:val="28"/>
          <w:szCs w:val="28"/>
        </w:rPr>
        <w:t>根据国务院于2014年下发的《关于调整城市规模划分标准的通知》，城区常住人口1000万以上的城市为超大城市，城区常住人口500万以上1000万以下的城市为特大城市。</w:t>
      </w:r>
    </w:p>
    <w:p>
      <w:pPr>
        <w:snapToGrid w:val="0"/>
        <w:spacing w:line="58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21</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tcPr>
          <w:p>
            <w:pPr>
              <w:snapToGrid w:val="0"/>
              <w:spacing w:line="580" w:lineRule="exact"/>
              <w:rPr>
                <w:rFonts w:ascii="仿宋" w:hAnsi="仿宋" w:eastAsia="仿宋" w:cs="仿宋"/>
                <w:b/>
                <w:bCs/>
                <w:kern w:val="0"/>
                <w:sz w:val="32"/>
                <w:szCs w:val="32"/>
              </w:rPr>
            </w:pPr>
            <w:r>
              <w:rPr>
                <w:rFonts w:hint="eastAsia" w:ascii="仿宋" w:hAnsi="仿宋" w:eastAsia="仿宋" w:cs="仿宋"/>
                <w:b/>
                <w:bCs/>
                <w:kern w:val="0"/>
                <w:sz w:val="28"/>
                <w:szCs w:val="28"/>
                <w:highlight w:val="none"/>
              </w:rPr>
              <w:t>主题：城市低碳建筑能源数字化转型技术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城市低碳建筑能源数字化转型是实现“双碳”目标的必要引擎。在此背景下，全国各地陆续提出低碳能源因地制宜的政策，旨在将建筑能源与5G、物联网、大数据、人工智能等新兴的数字化技术相结合，建设低碳建筑能源。近些年，随着低碳建筑能源领域目标客户数量的不断激增，我国低碳建筑能源领域的市场规模增长迅速，预计2022年国内低碳建筑能源市场规模将超过2000亿元。然而，当前我国低碳建筑能源数字化技术尚存在缺口，普遍表现为碳减排优化粗、碳数据融合低、碳评估审计差等问题，且核心技术主要依赖国外进口。如何依赖数字孪生、云计算、大数据、人工智能等新兴技术，实现在云平台虚拟映射建筑能源；同时如何在云端管理各类数据，让耗能、碳排放以数字化的方式呈现在建筑运营者和管理者面前，是目前所关注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6"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1.低碳建筑能源解决方案</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2.建筑能源系统数字孪生技术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3.建筑能源碳评估、碳管理技术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4.低碳建筑能源数字化转型技术</w:t>
            </w:r>
          </w:p>
        </w:tc>
      </w:tr>
    </w:tbl>
    <w:p>
      <w:pPr>
        <w:snapToGrid w:val="0"/>
        <w:spacing w:before="120" w:beforeLines="50" w:after="120" w:afterLines="50" w:line="500" w:lineRule="exact"/>
        <w:jc w:val="center"/>
        <w:rPr>
          <w:rStyle w:val="22"/>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主题：面向双碳目标的纺织服装企业技术、产业链联动及社会责任履行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中国作为发展中国家，实现全面绿色转型的基础较为薄弱，实现“双碳目标”时间紧、幅度大、困难多，但这一过程必将产生技术突破，催生新的产业、商业模式，更多的企业也将通过积极履行企业社会责任和践行绿色发展道路在资本市场和消费市场得到更多的市场认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lang w:bidi="ar"/>
              </w:rPr>
            </w:pPr>
            <w:r>
              <w:rPr>
                <w:rFonts w:hint="eastAsia" w:ascii="仿宋" w:hAnsi="仿宋" w:eastAsia="仿宋" w:cs="仿宋"/>
                <w:kern w:val="0"/>
                <w:sz w:val="28"/>
                <w:szCs w:val="28"/>
              </w:rPr>
              <w:t>纺织服装行业作为传统消费品行业，国内市场规模超过2万亿元，114家上市公司总市值近8000亿元，因此该行业如何履行社会责任，促进“双碳”目标达成，对于我国经济转型和生态文明建设具有重要意义。从合成纤维回收、聚乳酸等可回收材料的应用开发、再生纤维素纤维的差异化、绿色生产转型（光伏供能、中水回用、零污染排放等）、碳中和产品开发和认证，到低碳产品营销、低碳供应链认证体系开发、消费者绿色积分，再到绿色供应链金融项目、双碳项目投融资等，通过打通全行业信息、资金、技术、产品、物料，将在满足人民群众日益增长的美好生活需要的同时，实现可持续发展和双碳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1.主要原材料（例：聚酯纤维）的可回收技术开发以及经济性分析</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2.基于BSI碳足迹认证（CFV）进行某款碳中和产品的开发（包括技术路线、碳足迹核算、认证申请等）</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3.基于双碳目标构建中国特色社会主义“绿色供应链</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认证体系，并开展供应链双碳审计</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ascii="仿宋" w:hAnsi="仿宋" w:eastAsia="仿宋" w:cs="仿宋"/>
                <w:kern w:val="0"/>
                <w:sz w:val="32"/>
                <w:szCs w:val="32"/>
                <w:lang w:bidi="ar"/>
              </w:rPr>
            </w:pPr>
            <w:r>
              <w:rPr>
                <w:rFonts w:hint="eastAsia" w:ascii="仿宋" w:hAnsi="仿宋" w:eastAsia="仿宋" w:cs="仿宋"/>
                <w:kern w:val="0"/>
                <w:sz w:val="28"/>
                <w:szCs w:val="28"/>
              </w:rPr>
              <w:t>4.基于消费者需求、用户画像等大数据分析，开展“低碳消费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、“碳中和产品”相关营销策划</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Style w:val="22"/>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主题：双碳战略与智能交通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2021年10月24日，中共中央、国务院印发《关于完整准确全面贯彻新发展理念做好碳达峰碳中和工作的意见》。意见第六条明确提出“加快推进低碳交通运输体系建设”。根据交通部数据显示，我国每年因交通拥堵带来的经济损失高达城市人口可支配收入的20%，2020年我国交通领域碳排放9.3亿吨，占全国终端碳排放的15%，其中道路交通碳排放占90%。以上充分说明我国在交通减排方面大有可为。在此背景下，我国的交通模式已开启绿色低碳转型，开展智慧交通建设，通过实时监测交通流量、拥堵指数、延误指数等，减少交通拥堵，提升通行效率，进而减少碳排放。同时，我国还可通过推广节能低碳可网联的交通工具，加快发展新能源和清洁能源网联车船，推广智能交通工具，做到更优质的车路协同。</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拟通过本主题，利用智能交通和自动驾驶技术和体系，推动交通碳排放精准测算，应用新技术促进交通减排，助力双碳目标实现。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1.交通碳排放精准核算和交叉验证</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2.大规模电动车智能有序充电</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3.引导低碳出行的激励机制设计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4.共享出行的碳减排测算</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5.基于车路协同的节能车速诱导</w:t>
            </w:r>
          </w:p>
        </w:tc>
      </w:tr>
    </w:tbl>
    <w:p>
      <w:pPr>
        <w:jc w:val="center"/>
        <w:rPr>
          <w:rStyle w:val="22"/>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p>
      <w:pPr>
        <w:spacing w:line="155" w:lineRule="exact"/>
        <w:rPr>
          <w:rFonts w:ascii="仿宋" w:hAnsi="仿宋" w:eastAsia="仿宋"/>
          <w:sz w:val="32"/>
          <w:szCs w:val="32"/>
        </w:rPr>
      </w:pPr>
    </w:p>
    <w:tbl>
      <w:tblPr>
        <w:tblStyle w:val="36"/>
        <w:tblW w:w="8226"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822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主题：生态产品价值实现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生态产品价值实现是我国生态文明建设的重要抓手，是实现“绿水青山就是金山银山”理论的物质载体和实践抓手。2021年，中共中央、国务院办公厅印发《关于建立健全生态产品价值实现机制的意见》将生态产品价值实现机制从地方试点上升为顶层设计，构建了“两山”转化的政策制度体系，为加快建立生态产品价值实现机制提供了有力支撑。2022年，党的二十大将人与自然和谐共生列为中国式现代化的本质内涵，并将“建立生态产品价值实现机制”写入党的二十大报告。这是党对人与自然关系认识的重大跃升，揭示了生态产品价值实现是建设人与自然和谐共生的现代化的必由之路。近年来，随着生态产品价值实现机制试点的深入推进和各地实践探索的开展，我国在生态产品价值实现有关理论研究、机制创新、特色模式、路径实践等方面取得了重要进展、积累了宝贵经验，但依然存在着理论认识不深、实现路径单一、制度创新不足、配套保障不全、可复制可推广模式较少等瓶颈制约，需要加强经验总结，在深入推进生态产品价值实现机制创新、路径实践方面取得新突破。</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交叉融合生态学、经济学等学科理论知识，借鉴国内外典型经验，构建加快生态产品价值实现的制度机制，探索其实现路径，以实现人民群众物质生活水平和生态资源资产的双富裕，推动形成人与自然和谐共生的现代化建设新格局。</w:t>
            </w:r>
          </w:p>
        </w:tc>
      </w:tr>
      <w:tr>
        <w:tblPrEx>
          <w:tblBorders>
            <w:top w:val="single" w:color="000000" w:sz="2" w:space="0"/>
            <w:left w:val="single" w:color="000000" w:sz="2"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40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1.生态产品价值实现机制</w:t>
            </w:r>
            <w:r>
              <w:rPr>
                <w:rFonts w:hint="eastAsia" w:ascii="仿宋" w:hAnsi="仿宋" w:eastAsia="仿宋" w:cs="仿宋"/>
                <w:kern w:val="0"/>
                <w:sz w:val="28"/>
                <w:szCs w:val="28"/>
                <w:highlight w:val="none"/>
                <w:lang w:val="en-US" w:eastAsia="zh-CN"/>
              </w:rPr>
              <w:t>和</w:t>
            </w:r>
            <w:r>
              <w:rPr>
                <w:rFonts w:hint="eastAsia" w:ascii="仿宋" w:hAnsi="仿宋" w:eastAsia="仿宋" w:cs="仿宋"/>
                <w:kern w:val="0"/>
                <w:sz w:val="28"/>
                <w:szCs w:val="28"/>
                <w:highlight w:val="none"/>
              </w:rPr>
              <w:t>路径设计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生态产品价值核算及交易机制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低成本智慧生态园区构建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32"/>
                <w:szCs w:val="32"/>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.国家公园</w:t>
            </w:r>
            <w:r>
              <w:rPr>
                <w:rFonts w:hint="eastAsia" w:ascii="仿宋" w:hAnsi="仿宋" w:eastAsia="仿宋" w:cs="仿宋"/>
                <w:kern w:val="0"/>
                <w:sz w:val="28"/>
                <w:szCs w:val="28"/>
                <w:highlight w:val="none"/>
                <w:lang w:eastAsia="zh-CN"/>
              </w:rPr>
              <w:t>、矿产资源、林地</w:t>
            </w:r>
            <w:r>
              <w:rPr>
                <w:rFonts w:hint="eastAsia" w:ascii="仿宋" w:hAnsi="仿宋" w:eastAsia="仿宋" w:cs="仿宋"/>
                <w:kern w:val="0"/>
                <w:sz w:val="28"/>
                <w:szCs w:val="28"/>
                <w:highlight w:val="none"/>
                <w:lang w:val="en-US" w:eastAsia="zh-CN"/>
              </w:rPr>
              <w:t>等</w:t>
            </w:r>
            <w:r>
              <w:rPr>
                <w:rFonts w:hint="eastAsia" w:ascii="仿宋" w:hAnsi="仿宋" w:eastAsia="仿宋" w:cs="仿宋"/>
                <w:kern w:val="0"/>
                <w:sz w:val="28"/>
                <w:szCs w:val="28"/>
                <w:highlight w:val="none"/>
              </w:rPr>
              <w:t>生态产品价值实现</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Style w:val="22"/>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20"/>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主题：碳金融驱动产业绿色转型升级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目标下产业转型发展错综复杂，需要庞大资金供给与多元金融工具支持。碳金融旨在通过金融市场解决全球温室气体减排问题，推动可持续发展。它包括碳交易、碳资产投资、碳信贷和碳保险等多个领域。碳金融的实质是将减排资源的所有权和使用权进行分离，通过市场机制实现碳减排目标。</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目前上海等地已经形成了多层次绿色金融组织机构体系、多元化绿色金融产品和服务体系、多渠道绿色产融结合和产业转型的市场平台体系。通过碳市场激励企业加大减排投入，反哺行业发展、产业发展。碳金融与产业绿色转型之间形成了怎样的关系？双碳目标下的金融创新如何更好地服务于产业绿色转型？拟通过本主题，探讨碳金融赋能农业、工业、服务业绿色转型升级的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1.生态银行建设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2.ESG表现评价体系建设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3.碳金融与新能源产业</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4.碳金融与乡村振兴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5.绿色融资租赁</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命题2</w:t>
      </w:r>
      <w:r>
        <w:rPr>
          <w:rFonts w:ascii="仿宋" w:hAnsi="仿宋" w:eastAsia="仿宋" w:cs="仿宋_GB2312"/>
          <w:b/>
          <w:bCs/>
          <w:sz w:val="32"/>
          <w:szCs w:val="32"/>
        </w:rPr>
        <w:t>6</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主题：企业碳排放信息披露的治理机制创新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作为社会的基本生产单元，企业是温室气体的基本排放源，也是政府减排行动的重要参与者。高质量的企业碳排放信息披露对于实现“双碳”目标意义重大，有利于帮助企业</w:t>
            </w:r>
            <w:r>
              <w:rPr>
                <w:rFonts w:hint="eastAsia" w:ascii="仿宋" w:hAnsi="仿宋" w:eastAsia="仿宋" w:cs="仿宋"/>
                <w:kern w:val="0"/>
                <w:sz w:val="28"/>
                <w:szCs w:val="28"/>
                <w:lang w:eastAsia="zh-CN"/>
              </w:rPr>
              <w:t>增强</w:t>
            </w:r>
            <w:r>
              <w:rPr>
                <w:rFonts w:hint="eastAsia" w:ascii="仿宋" w:hAnsi="仿宋" w:eastAsia="仿宋" w:cs="仿宋"/>
                <w:kern w:val="0"/>
                <w:sz w:val="28"/>
                <w:szCs w:val="28"/>
              </w:rPr>
              <w:t>气候风险管理的意识、能力，以及充分发挥碳交易市场的作用。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碳排放总量和强度“双控”要求企业健全碳排放统计、监测、报告、核查、披露体系。在现有治理机制下，企业碳排放披露体系存在诸多问题。国内尚未建立完善的碳排放信息披露制度，企业碳排放信息披露尚处于初级阶段。对于碳排放信息</w:t>
            </w:r>
            <w:r>
              <w:rPr>
                <w:rFonts w:hint="eastAsia" w:ascii="仿宋" w:hAnsi="仿宋" w:eastAsia="仿宋" w:cs="仿宋"/>
                <w:kern w:val="0"/>
                <w:sz w:val="28"/>
                <w:szCs w:val="28"/>
                <w:lang w:eastAsia="zh-CN"/>
              </w:rPr>
              <w:t>披露</w:t>
            </w:r>
            <w:r>
              <w:rPr>
                <w:rFonts w:hint="eastAsia" w:ascii="仿宋" w:hAnsi="仿宋" w:eastAsia="仿宋" w:cs="仿宋"/>
                <w:kern w:val="0"/>
                <w:sz w:val="28"/>
                <w:szCs w:val="28"/>
              </w:rPr>
              <w:t>缺乏督促企业客观、准确披露碳排放信息的动力。</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探索构建与国际衔接，具有中国特色的企业碳排放信息披露标准，对企业碳排放信息披露的范围及边界进行清晰合理界定；构建企业碳排放信息披露的评估体系，提升披露质量；设计有效的企业碳排放信息披露激励和约束机制，促进企业自主披露。</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如何通过经济学、管理学、环境科学和人工智能等多学科交叉融合，创新性解决单个企业和上下游产业链的碳排放信息披露问题，促进企业碳中和转型，积极参与到碳排放市场交易，促进双碳目标实现。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1.企业碳排放信息披露标准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2.企业碳排放信息披露评估</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3.企业碳排放信息披露的激励与约束机制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4.企业碳排放信息披露的区块链应用</w:t>
            </w:r>
          </w:p>
        </w:tc>
      </w:tr>
    </w:tbl>
    <w:p>
      <w:pPr>
        <w:widowControl/>
        <w:jc w:val="left"/>
        <w:rPr>
          <w:rFonts w:ascii="仿宋" w:hAnsi="仿宋" w:eastAsia="仿宋" w:cs="Times New Roman"/>
          <w:b/>
          <w:bCs/>
          <w:sz w:val="32"/>
          <w:szCs w:val="32"/>
        </w:rPr>
      </w:pPr>
      <w:r>
        <w:rPr>
          <w:rFonts w:ascii="仿宋" w:hAnsi="仿宋" w:eastAsia="仿宋" w:cs="Times New Roman"/>
          <w:b/>
          <w:bCs/>
          <w:sz w:val="32"/>
          <w:szCs w:val="32"/>
        </w:rPr>
        <w:br w:type="page"/>
      </w:r>
    </w:p>
    <w:p>
      <w:pPr>
        <w:snapToGrid w:val="0"/>
        <w:spacing w:before="120" w:beforeLines="50" w:after="120" w:afterLines="50" w:line="500" w:lineRule="exact"/>
        <w:jc w:val="center"/>
        <w:rPr>
          <w:rFonts w:ascii="仿宋" w:hAnsi="仿宋" w:eastAsia="仿宋" w:cs="Times New Roman"/>
          <w:b/>
          <w:bCs/>
          <w:sz w:val="32"/>
          <w:szCs w:val="32"/>
        </w:rPr>
      </w:pPr>
      <w:r>
        <w:rPr>
          <w:rFonts w:hint="eastAsia" w:ascii="仿宋" w:hAnsi="仿宋" w:eastAsia="仿宋" w:cs="Times New Roman"/>
          <w:b/>
          <w:bCs/>
          <w:sz w:val="32"/>
          <w:szCs w:val="32"/>
        </w:rPr>
        <w:t>命题2</w:t>
      </w:r>
      <w:r>
        <w:rPr>
          <w:rFonts w:ascii="仿宋" w:hAnsi="仿宋" w:eastAsia="仿宋" w:cs="Times New Roman"/>
          <w:b/>
          <w:bCs/>
          <w:sz w:val="32"/>
          <w:szCs w:val="32"/>
        </w:rPr>
        <w:t>7</w:t>
      </w:r>
      <w:r>
        <w:rPr>
          <w:rFonts w:hint="eastAsia" w:ascii="仿宋" w:hAnsi="仿宋" w:eastAsia="仿宋" w:cs="Times New Roman"/>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20"/>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主题：未来碳市场与人类生产生活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根据国际碳行动伙伴组织（ICAP）于2023年3月发布的《全球碳排放权交易：ICAP 2023年进展报告》，全球碳市场在多重挑战下展示了对外界冲击的弹性与韧性，在波动中稳步发展。目前中国全国碳市场覆盖下的碳排放量居世界首位。</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2020年12月生态环境部审议通过《碳排放权交易管理办法（试行）》，并于2021年2月正式实施，对碳市场建设的责任部门、气体覆盖范围、行业范围、碳交易主体、碳配额方式等作出规定，标志着我国全国性碳交易市场建设的开启。由于中国碳市场尚处于初步发展阶段，仍需向相对成熟的全球典型碳市场汲取经验。覆盖行业和温室气体范围扩大以及配额有偿分配机制的引进等将成为中国碳交易体系的未来发展趋势。而作为全国碳排放权交易市场的重要补充，温室气体自愿减排交易市场（CCER市场）已经暂停了5年多，何时启动成为当前市场最关注的话题之一。若CCER市场重启，碳市场未来走势如何？未来碳市场将如何影响行业发展与居民生活？拟通过本主题，探讨未来碳市场的发展及其对生产生活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1.碳普惠</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2.气候金融与气候风险量化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3.碳定价机制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4.CCER市场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5.林业碳汇市场</w:t>
            </w:r>
          </w:p>
        </w:tc>
      </w:tr>
    </w:tbl>
    <w:p>
      <w:pPr>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命题28</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3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spacing w:line="219" w:lineRule="auto"/>
              <w:rPr>
                <w:rFonts w:ascii="仿宋" w:hAnsi="仿宋" w:eastAsia="仿宋" w:cs="仿宋"/>
                <w:kern w:val="0"/>
                <w:sz w:val="32"/>
                <w:szCs w:val="32"/>
              </w:rPr>
            </w:pPr>
            <w:r>
              <w:rPr>
                <w:rFonts w:hint="eastAsia" w:ascii="仿宋" w:hAnsi="仿宋" w:eastAsia="仿宋" w:cs="仿宋"/>
                <w:b/>
                <w:bCs/>
                <w:kern w:val="0"/>
                <w:sz w:val="28"/>
                <w:szCs w:val="28"/>
              </w:rPr>
              <w:t>主题：种植业绿色生产和农产品低碳加工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1"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当前农业资源高度消耗、种植业绿色生产和农产品低碳加工技术落后等问题逐渐突出。加快推进种植业节能减排及农产品低碳生产，提高农业资源利用效率，改善农业农村生态环境，实现农业绿色发展，将农业农村建设成为美丽中国的“生态屏障”，是建设农业生态文明的内在要求。</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种植业是温室气体的主要排放源之一，排放量占我国温室气体排放总量的24%，如何通过有效措施来减少资源浪费和环境污染以助力我国实现“双碳”目标成为迫在眉睫的问题。一方面种植业节能减排主要途径包括优质绿色新品种应用、节水灌溉技术、化肥农药减量增效技术，绿色高效栽培技术等。另一方面，农产品加工过程中所产生的大量的碳给环境带来污染，也是制约我国农业绿色发展和乡村振兴的重要因素，低碳生产工艺备受关注，尤其在低碳农产品生产工艺，低碳农产品供应链管理方案设计及种植业碳核算方法学构建等方面，应重点加强对上述科学问题的研究。</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spacing w:val="-9"/>
                <w:kern w:val="0"/>
                <w:sz w:val="32"/>
                <w:szCs w:val="32"/>
              </w:rPr>
            </w:pPr>
            <w:r>
              <w:rPr>
                <w:rFonts w:hint="eastAsia" w:ascii="仿宋" w:hAnsi="仿宋" w:eastAsia="仿宋" w:cs="仿宋"/>
                <w:kern w:val="0"/>
                <w:sz w:val="28"/>
                <w:szCs w:val="28"/>
              </w:rPr>
              <w:t>拟通过本主题，合众之力，推动种植业节能减排与农产品低碳生产工艺的创新发展，加快推进种植业节能减排，提高种植业资源利用效率，改善种植业生态环境，实现种植业绿色发展，服务“双碳”目标、粮食安全、农业高质量发展和保障人民健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7"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1.高产、优质、低碳品种选育</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2.绿色高效种植技术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3.化肥农药减量增效技术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4.低碳农产品生产工艺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5.低碳农产品供应链管理方案设计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6.种植业碳核算方法学构建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命题29</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3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主题：养殖业减排降碳与产品设计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3"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双碳”目标的明确提出，作为主要碳源的畜牧业亟须向高质量绿色低碳发展转型。从全球范围来看，畜牧业具有极大的减排潜力。到2030年，全球畜牧业系统的升级每年将贡献7.36亿吨二氧化碳当量的减排。通过在饲喂、放牧及粪便管理等方面推广使用现有的最佳规范和先进技术，畜牧部门温室气体减排可达30%。</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在国家提倡“大食物观”的多元食物供给要求和“双碳”任务约束下，在畜牧业转型升级的关键时期，推进畜牧业高质量绿色低碳发展不仅可以保障国家食物安全，还能减轻碳排放压力。“减排降碳”不但是环境友好型政策，同时具备“增产提效”的特点。畜牧业中，减少碳排放意味着营养物质的高效利用与产品的提质增效，在品种改良、畜禽日粮搭配优化、粪污资源循环利用、畜禽饲养管理改善等多方面共同努力下，助力“双碳”目标的实现。此外，为了量化畜禽养殖业的碳排放，为畜禽养殖业的碳减排提供依据，寻找合适的畜禽养殖业碳排放计算方法成为目前的研究热点。</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拟通过本主题，高产低排放畜禽品种改良技术、精准饲喂技术、产品低碳生产技术、畜禽粪污资源化利用技术、养殖业碳核算方法学构建等方面，推动畜牧业固碳减排，探索绿色健康型畜牧业。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1.高产低排放畜禽品种改良技术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2.精准饲喂技术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3.产品低碳生产技术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4.畜禽粪污资源化利用技术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5.养殖业碳核算方法学构建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w:t>
      </w:r>
      <w:r>
        <w:rPr>
          <w:rFonts w:hint="eastAsia" w:ascii="仿宋" w:hAnsi="仿宋" w:eastAsia="仿宋" w:cs="仿宋_GB2312"/>
          <w:b/>
          <w:bCs/>
          <w:sz w:val="32"/>
          <w:szCs w:val="32"/>
        </w:rPr>
        <w:t>3</w:t>
      </w:r>
      <w:r>
        <w:rPr>
          <w:rFonts w:ascii="仿宋" w:hAnsi="仿宋" w:eastAsia="仿宋" w:cs="仿宋_GB2312"/>
          <w:b/>
          <w:bCs/>
          <w:sz w:val="32"/>
          <w:szCs w:val="32"/>
        </w:rPr>
        <w:t>0</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3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主题：农业水土资源高效利用技术与治理方法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6"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农业是温室气体的排放源之一，更是固碳增汇的主要贡献者。推进农业减排固碳，是我国碳达峰碳中和的重要组成部分。水土资源是农业发展的基础，农业水土资源的低碳高效利用是农业固碳减排的重要途径。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目前，土壤障碍、面源污染、水土资源短缺等成为农业现代化生产的制约因素，在资源短缺、粮食安全、碳中和及变化环境的大背景下，农业水土资源的高效利用与治理面临巨大挑战。2022年，农业农村部和国家发展改革委联合发布《农业农村减排固碳实施方案》，明确“六大任务”和“十大行动”。如何优化农田水分管理，建立适宜节水灌溉技术？如何绿色低碳综合利用农业水土资源？如何构建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经济系统可持续管理模式？如何构建障碍土壤治理及修复技术？如何建立低碳农田污染处理技术以及农业面源污染削减控制技术？将成为农业碳达峰碳中和实施路径的关键问题。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2"/>
                <w:kern w:val="0"/>
                <w:sz w:val="32"/>
                <w:szCs w:val="32"/>
              </w:rPr>
            </w:pPr>
            <w:r>
              <w:rPr>
                <w:rFonts w:hint="eastAsia" w:ascii="仿宋" w:hAnsi="仿宋" w:eastAsia="仿宋" w:cs="仿宋"/>
                <w:kern w:val="0"/>
                <w:sz w:val="28"/>
                <w:szCs w:val="28"/>
              </w:rPr>
              <w:t>拟通过本主题，协同创新，探索绿色、低碳、高效的农业水土高效资源利用与治理技术，践行农业碳汇能力提升理念，实现农业绿色低碳发展生态模式。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1.节水灌溉技术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2.障碍土壤修复技术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3.农业面源污染削减方法</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4.农田生态系统水</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土</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能-碳关联分析与调控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8"/>
                <w:kern w:val="0"/>
                <w:sz w:val="32"/>
                <w:szCs w:val="32"/>
              </w:rPr>
            </w:pPr>
            <w:r>
              <w:rPr>
                <w:rFonts w:hint="eastAsia" w:ascii="仿宋" w:hAnsi="仿宋" w:eastAsia="仿宋" w:cs="仿宋"/>
                <w:kern w:val="0"/>
                <w:sz w:val="28"/>
                <w:szCs w:val="28"/>
              </w:rPr>
              <w:t>5.农田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命题31</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3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主题：农机节能减排与农业信息化技术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9"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机是促进农业生产的核心要素，然而碳排放量达20万吨/年，相当于工程机械、船舶、铁路内燃机车和飞机碳排放量的总和。因此，推广低碳节能农机装备，降低化石能源消耗和碳排放，对能源与环境具有重大意义。</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何通过有效措施实现农机节能减排，助力实现“双碳”目标，亟需推广信息化技术，优化农机装备结构，加快复式、高效、绿色、智能农机技术装备普及应用。一方面因地制宜发展复式、高效农机装备和电动农机装备；通过优化设计农机装备结构，减少种子、化肥、农药、水资源用量；构建作物监测、农业生产和机械联合配置的节能管理体系，完善农机排放标准；最终实现农机节能减排的目标。另一方面利用5G、大数据、云计算、信息获取与决策等信息化技术，融合农业生产技术，研究智能农机装备或农业机器人，获取田间作物信息与构建决策模型，实现自主、精准、高效地从事耕作、播种、施肥、喷药、灌溉与收获等农业生产活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拟通过本主题，纳真知灼见</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聚学术资源，希望大家能为农机节能减排与农业信息化技术寻求新思路，为“双碳”目标的实现贡献一份智慧与力量。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3"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1.复式、高效、电动农机装备设计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2.节种节水节能节肥节药的农机化技术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3.农业机器人应用方案设计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4.农业信息获取与决策支持系统设计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5.农业减排固碳监测集成技术</w:t>
            </w:r>
          </w:p>
        </w:tc>
      </w:tr>
    </w:tbl>
    <w:p>
      <w:pPr>
        <w:spacing w:line="420" w:lineRule="exact"/>
        <w:rPr>
          <w:rFonts w:ascii="仿宋" w:hAnsi="仿宋" w:eastAsia="仿宋" w:cs="Times New Roman"/>
          <w:sz w:val="32"/>
          <w:szCs w:val="32"/>
        </w:rPr>
        <w:sectPr>
          <w:footerReference r:id="rId4" w:type="default"/>
          <w:pgSz w:w="11907" w:h="16839"/>
          <w:pgMar w:top="1428" w:right="1785" w:bottom="1394" w:left="1785" w:header="0" w:footer="1233" w:gutter="0"/>
          <w:cols w:space="720" w:num="1"/>
        </w:sectPr>
      </w:pPr>
    </w:p>
    <w:p>
      <w:pPr>
        <w:snapToGrid w:val="0"/>
        <w:spacing w:before="156" w:beforeLines="50" w:after="156"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w:t>
      </w:r>
      <w:r>
        <w:rPr>
          <w:rFonts w:hint="eastAsia" w:ascii="仿宋" w:hAnsi="仿宋" w:eastAsia="仿宋" w:cs="仿宋_GB2312"/>
          <w:b/>
          <w:bCs/>
          <w:sz w:val="32"/>
          <w:szCs w:val="32"/>
          <w:lang w:val="en-US" w:eastAsia="zh-CN"/>
        </w:rPr>
        <w:t>2（</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仿宋" w:hAnsi="仿宋" w:eastAsia="仿宋" w:cs="Times New Roman"/>
                <w:kern w:val="0"/>
                <w:sz w:val="32"/>
                <w:szCs w:val="32"/>
              </w:rPr>
            </w:pPr>
            <w:r>
              <w:rPr>
                <w:rFonts w:hint="eastAsia" w:ascii="仿宋" w:hAnsi="仿宋" w:eastAsia="仿宋" w:cs="仿宋"/>
                <w:b/>
                <w:bCs/>
                <w:kern w:val="0"/>
                <w:sz w:val="28"/>
                <w:szCs w:val="28"/>
              </w:rPr>
              <w:t>主题：农业减排固碳的支撑体系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2022年6月30日，农业农村部、国家发展改革委公布《农业农村减排固碳实施方案》，《方案》提出，围绕种植业节能减排、畜牧业减排降碳、渔业减排增汇、农田固碳扩容、农机节能减排、可再生能源替代等六项任务，实施稻田甲烷减排、化肥减量增效、畜禽低碳减排、渔业减排增汇、农机绿色节能、农田碳汇提升、秸秆综合利用、可再生能源替代、科技创新支撑、监测体系建设等十大行动。农业农村部高度重视农业生态环境保护与农业农村减排固碳，与7部门联合出台《国家黑土地保护工程实施方案（2021—2025年）》提升农业生态系统碳汇。农业农村部也将进一步继续协同推进农业生态环境保护与农业农村减排固碳，加快推进相关重大工程、重大行动组织实施，推动农业领域减污降碳协同增效；推进山水林田湖草沙一体化保护和系统治理，继续推进高标准农田建设、黑土地保护工程、秸秆科学还田等，增加农田有机质含量，提升农业生态系统固碳增汇能力；同时加大农业绿色低碳科技创新力度，聚焦技术瓶颈和短板问题，加强关键核心技术攻关，加快成熟适用技术推广应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拟通过本主题，探讨助力农业减排固碳的政策支撑体系、技术支撑体系等，探索农业减排固碳的实现路径。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1.农业碳汇项目管理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2.农业废弃物综合利用技术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3.农业减排固碳模式</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长效机制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.农业减排固碳支撑体系</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农村可再生能源开发利用技术</w:t>
            </w:r>
          </w:p>
        </w:tc>
      </w:tr>
    </w:tbl>
    <w:p>
      <w:pPr>
        <w:keepNext w:val="0"/>
        <w:keepLines w:val="0"/>
        <w:pageBreakBefore w:val="0"/>
        <w:widowControl w:val="0"/>
        <w:kinsoku/>
        <w:wordWrap/>
        <w:overflowPunct/>
        <w:topLinePunct w:val="0"/>
        <w:autoSpaceDE/>
        <w:autoSpaceDN/>
        <w:bidi w:val="0"/>
        <w:adjustRightInd/>
        <w:spacing w:line="440" w:lineRule="exact"/>
        <w:textAlignment w:val="auto"/>
      </w:pPr>
    </w:p>
    <w:sectPr>
      <w:footerReference r:id="rId5" w:type="defaul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3907935"/>
    </w:sdtPr>
    <w:sdtEndPr>
      <w:rPr>
        <w:rFonts w:ascii="Times New Roman" w:hAnsi="Times New Roman" w:cs="Times New Roman"/>
      </w:rPr>
    </w:sdtEndPr>
    <w:sdtContent>
      <w:p>
        <w:pPr>
          <w:pStyle w:val="1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p>
        <w:pPr>
          <w:pStyle w:val="1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hint="eastAsia" w:ascii="Times New Roman" w:hAnsi="Times New Roman" w:eastAsia="宋体" w:cs="Times New Roman"/>
        <w:sz w:val="18"/>
        <w:szCs w:val="18"/>
        <w:lang w:val="en-US" w:eastAsia="zh-CN"/>
      </w:rPr>
    </w:pPr>
    <w:r>
      <w:rPr>
        <w:rFonts w:ascii="Times New Roman" w:hAnsi="Times New Roman" w:eastAsia="Times New Roman" w:cs="Times New Roman"/>
        <w:sz w:val="18"/>
        <w:szCs w:val="18"/>
      </w:rPr>
      <w:t>4</w:t>
    </w:r>
    <w:r>
      <w:rPr>
        <w:rFonts w:hint="eastAsia" w:ascii="Times New Roman" w:hAnsi="Times New Roman" w:eastAsia="宋体" w:cs="Times New Roman"/>
        <w:sz w:val="18"/>
        <w:szCs w:val="18"/>
        <w:lang w:val="en-US" w:eastAsia="zh-CN"/>
      </w:rPr>
      <w:t>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11F8C"/>
    <w:multiLevelType w:val="multilevel"/>
    <w:tmpl w:val="51D11F8C"/>
    <w:lvl w:ilvl="0" w:tentative="0">
      <w:start w:val="1"/>
      <w:numFmt w:val="decimalEnclosedCircle"/>
      <w:lvlText w:val="%1"/>
      <w:lvlJc w:val="left"/>
      <w:pPr>
        <w:ind w:left="780" w:hanging="497"/>
      </w:pPr>
      <w:rPr>
        <w:rFonts w:hint="eastAsia" w:ascii="宋体" w:hAnsi="宋体" w:eastAsia="宋体" w:cs="宋体"/>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yOTkxMzdmMTE1NDYyMTA3OTViMWYxOWMyOTQzMDUifQ=="/>
  </w:docVars>
  <w:rsids>
    <w:rsidRoot w:val="00172A27"/>
    <w:rsid w:val="00020F65"/>
    <w:rsid w:val="00021F38"/>
    <w:rsid w:val="0003668D"/>
    <w:rsid w:val="000F5A7A"/>
    <w:rsid w:val="001046FD"/>
    <w:rsid w:val="00107A2D"/>
    <w:rsid w:val="00111538"/>
    <w:rsid w:val="002B3420"/>
    <w:rsid w:val="002C1FED"/>
    <w:rsid w:val="004F1DA7"/>
    <w:rsid w:val="00547883"/>
    <w:rsid w:val="00563402"/>
    <w:rsid w:val="0059633A"/>
    <w:rsid w:val="005E6BED"/>
    <w:rsid w:val="007F13C2"/>
    <w:rsid w:val="00822698"/>
    <w:rsid w:val="008D1CD4"/>
    <w:rsid w:val="008D63FA"/>
    <w:rsid w:val="008D6441"/>
    <w:rsid w:val="00A632CA"/>
    <w:rsid w:val="00A86E21"/>
    <w:rsid w:val="00A939FF"/>
    <w:rsid w:val="00AB3D8A"/>
    <w:rsid w:val="00BA7CA7"/>
    <w:rsid w:val="00BC311E"/>
    <w:rsid w:val="00BD0A24"/>
    <w:rsid w:val="00BF5619"/>
    <w:rsid w:val="00BF6E12"/>
    <w:rsid w:val="00C6314E"/>
    <w:rsid w:val="00CE0A6C"/>
    <w:rsid w:val="00D16B94"/>
    <w:rsid w:val="00D36286"/>
    <w:rsid w:val="00DD736C"/>
    <w:rsid w:val="00DF59EE"/>
    <w:rsid w:val="00E0274E"/>
    <w:rsid w:val="00E6688D"/>
    <w:rsid w:val="00E9691D"/>
    <w:rsid w:val="00F33E58"/>
    <w:rsid w:val="0246740F"/>
    <w:rsid w:val="03C020B7"/>
    <w:rsid w:val="04CA01F4"/>
    <w:rsid w:val="064A71A6"/>
    <w:rsid w:val="06777E5C"/>
    <w:rsid w:val="086F6467"/>
    <w:rsid w:val="08ED6A84"/>
    <w:rsid w:val="0E14727F"/>
    <w:rsid w:val="104F015C"/>
    <w:rsid w:val="10F85276"/>
    <w:rsid w:val="11054BE6"/>
    <w:rsid w:val="138D2581"/>
    <w:rsid w:val="186C1827"/>
    <w:rsid w:val="18F325A1"/>
    <w:rsid w:val="23031BE1"/>
    <w:rsid w:val="297E3E76"/>
    <w:rsid w:val="30106D9A"/>
    <w:rsid w:val="323D5BFB"/>
    <w:rsid w:val="34727975"/>
    <w:rsid w:val="3795295C"/>
    <w:rsid w:val="3D8D41FB"/>
    <w:rsid w:val="3E7E4099"/>
    <w:rsid w:val="411D44E5"/>
    <w:rsid w:val="419B151E"/>
    <w:rsid w:val="48385897"/>
    <w:rsid w:val="48473577"/>
    <w:rsid w:val="50A455F1"/>
    <w:rsid w:val="51B8714D"/>
    <w:rsid w:val="53012B5D"/>
    <w:rsid w:val="539757E8"/>
    <w:rsid w:val="5714649F"/>
    <w:rsid w:val="57E54095"/>
    <w:rsid w:val="5DC53766"/>
    <w:rsid w:val="5E2B1A95"/>
    <w:rsid w:val="640B5BE5"/>
    <w:rsid w:val="654F500E"/>
    <w:rsid w:val="684E0993"/>
    <w:rsid w:val="6FFB6060"/>
    <w:rsid w:val="72376BF2"/>
    <w:rsid w:val="78997F43"/>
    <w:rsid w:val="7AED7BDE"/>
    <w:rsid w:val="7B2233D2"/>
    <w:rsid w:val="7CCD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1">
    <w:name w:val="Default Paragraph Font"/>
    <w:autoRedefine/>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4">
    <w:name w:val="toc 7"/>
    <w:basedOn w:val="1"/>
    <w:next w:val="1"/>
    <w:autoRedefine/>
    <w:semiHidden/>
    <w:unhideWhenUsed/>
    <w:qFormat/>
    <w:uiPriority w:val="39"/>
    <w:pPr>
      <w:ind w:left="1260"/>
      <w:jc w:val="left"/>
    </w:pPr>
    <w:rPr>
      <w:rFonts w:eastAsiaTheme="minorHAnsi"/>
      <w:sz w:val="20"/>
      <w:szCs w:val="20"/>
    </w:rPr>
  </w:style>
  <w:style w:type="paragraph" w:styleId="5">
    <w:name w:val="annotation text"/>
    <w:basedOn w:val="1"/>
    <w:link w:val="27"/>
    <w:autoRedefine/>
    <w:semiHidden/>
    <w:unhideWhenUsed/>
    <w:qFormat/>
    <w:uiPriority w:val="99"/>
    <w:pPr>
      <w:jc w:val="left"/>
    </w:pPr>
  </w:style>
  <w:style w:type="paragraph" w:styleId="6">
    <w:name w:val="toc 5"/>
    <w:basedOn w:val="1"/>
    <w:next w:val="1"/>
    <w:autoRedefine/>
    <w:semiHidden/>
    <w:unhideWhenUsed/>
    <w:qFormat/>
    <w:uiPriority w:val="39"/>
    <w:pPr>
      <w:ind w:left="840"/>
      <w:jc w:val="left"/>
    </w:pPr>
    <w:rPr>
      <w:rFonts w:eastAsiaTheme="minorHAnsi"/>
      <w:sz w:val="20"/>
      <w:szCs w:val="20"/>
    </w:rPr>
  </w:style>
  <w:style w:type="paragraph" w:styleId="7">
    <w:name w:val="toc 3"/>
    <w:basedOn w:val="1"/>
    <w:next w:val="1"/>
    <w:autoRedefine/>
    <w:semiHidden/>
    <w:unhideWhenUsed/>
    <w:qFormat/>
    <w:uiPriority w:val="39"/>
    <w:pPr>
      <w:ind w:left="420"/>
      <w:jc w:val="left"/>
    </w:pPr>
    <w:rPr>
      <w:rFonts w:eastAsiaTheme="minorHAnsi"/>
      <w:sz w:val="20"/>
      <w:szCs w:val="20"/>
    </w:rPr>
  </w:style>
  <w:style w:type="paragraph" w:styleId="8">
    <w:name w:val="toc 8"/>
    <w:basedOn w:val="1"/>
    <w:next w:val="1"/>
    <w:autoRedefine/>
    <w:semiHidden/>
    <w:unhideWhenUsed/>
    <w:qFormat/>
    <w:uiPriority w:val="39"/>
    <w:pPr>
      <w:ind w:left="1470"/>
      <w:jc w:val="left"/>
    </w:pPr>
    <w:rPr>
      <w:rFonts w:eastAsiaTheme="minorHAnsi"/>
      <w:sz w:val="20"/>
      <w:szCs w:val="20"/>
    </w:rPr>
  </w:style>
  <w:style w:type="paragraph" w:styleId="9">
    <w:name w:val="Balloon Text"/>
    <w:basedOn w:val="1"/>
    <w:link w:val="34"/>
    <w:autoRedefine/>
    <w:semiHidden/>
    <w:unhideWhenUsed/>
    <w:qFormat/>
    <w:uiPriority w:val="99"/>
    <w:rPr>
      <w:sz w:val="18"/>
      <w:szCs w:val="18"/>
    </w:rPr>
  </w:style>
  <w:style w:type="paragraph" w:styleId="10">
    <w:name w:val="footer"/>
    <w:basedOn w:val="1"/>
    <w:link w:val="28"/>
    <w:autoRedefine/>
    <w:unhideWhenUsed/>
    <w:qFormat/>
    <w:uiPriority w:val="99"/>
    <w:pPr>
      <w:tabs>
        <w:tab w:val="center" w:pos="4153"/>
        <w:tab w:val="right" w:pos="8306"/>
      </w:tabs>
      <w:snapToGrid w:val="0"/>
      <w:jc w:val="left"/>
    </w:pPr>
    <w:rPr>
      <w:sz w:val="18"/>
      <w:szCs w:val="18"/>
    </w:rPr>
  </w:style>
  <w:style w:type="paragraph" w:styleId="11">
    <w:name w:val="header"/>
    <w:basedOn w:val="1"/>
    <w:link w:val="2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autoRedefine/>
    <w:unhideWhenUsed/>
    <w:qFormat/>
    <w:uiPriority w:val="39"/>
    <w:pPr>
      <w:spacing w:before="240" w:after="120"/>
      <w:jc w:val="left"/>
    </w:pPr>
    <w:rPr>
      <w:rFonts w:eastAsiaTheme="minorHAnsi"/>
      <w:b/>
      <w:bCs/>
      <w:sz w:val="20"/>
      <w:szCs w:val="20"/>
    </w:rPr>
  </w:style>
  <w:style w:type="paragraph" w:styleId="13">
    <w:name w:val="toc 4"/>
    <w:basedOn w:val="1"/>
    <w:next w:val="1"/>
    <w:autoRedefine/>
    <w:semiHidden/>
    <w:unhideWhenUsed/>
    <w:qFormat/>
    <w:uiPriority w:val="39"/>
    <w:pPr>
      <w:ind w:left="630"/>
      <w:jc w:val="left"/>
    </w:pPr>
    <w:rPr>
      <w:rFonts w:eastAsiaTheme="minorHAnsi"/>
      <w:sz w:val="20"/>
      <w:szCs w:val="20"/>
    </w:rPr>
  </w:style>
  <w:style w:type="paragraph" w:styleId="14">
    <w:name w:val="toc 6"/>
    <w:basedOn w:val="1"/>
    <w:next w:val="1"/>
    <w:autoRedefine/>
    <w:semiHidden/>
    <w:unhideWhenUsed/>
    <w:qFormat/>
    <w:uiPriority w:val="39"/>
    <w:pPr>
      <w:ind w:left="1050"/>
      <w:jc w:val="left"/>
    </w:pPr>
    <w:rPr>
      <w:rFonts w:eastAsiaTheme="minorHAnsi"/>
      <w:sz w:val="20"/>
      <w:szCs w:val="20"/>
    </w:rPr>
  </w:style>
  <w:style w:type="paragraph" w:styleId="15">
    <w:name w:val="toc 2"/>
    <w:basedOn w:val="1"/>
    <w:next w:val="1"/>
    <w:autoRedefine/>
    <w:unhideWhenUsed/>
    <w:qFormat/>
    <w:uiPriority w:val="39"/>
    <w:pPr>
      <w:spacing w:before="120"/>
      <w:ind w:left="210"/>
      <w:jc w:val="left"/>
    </w:pPr>
    <w:rPr>
      <w:rFonts w:eastAsiaTheme="minorHAnsi"/>
      <w:i/>
      <w:iCs/>
      <w:sz w:val="20"/>
      <w:szCs w:val="20"/>
    </w:rPr>
  </w:style>
  <w:style w:type="paragraph" w:styleId="16">
    <w:name w:val="toc 9"/>
    <w:basedOn w:val="1"/>
    <w:next w:val="1"/>
    <w:autoRedefine/>
    <w:semiHidden/>
    <w:unhideWhenUsed/>
    <w:qFormat/>
    <w:uiPriority w:val="39"/>
    <w:pPr>
      <w:ind w:left="1680"/>
      <w:jc w:val="left"/>
    </w:pPr>
    <w:rPr>
      <w:rFonts w:eastAsiaTheme="minorHAnsi"/>
      <w:sz w:val="20"/>
      <w:szCs w:val="20"/>
    </w:rPr>
  </w:style>
  <w:style w:type="paragraph" w:styleId="17">
    <w:name w:val="Normal (Web)"/>
    <w:basedOn w:val="1"/>
    <w:autoRedefine/>
    <w:qFormat/>
    <w:uiPriority w:val="0"/>
    <w:rPr>
      <w:sz w:val="24"/>
    </w:rPr>
  </w:style>
  <w:style w:type="paragraph" w:styleId="18">
    <w:name w:val="annotation subject"/>
    <w:basedOn w:val="5"/>
    <w:next w:val="5"/>
    <w:link w:val="33"/>
    <w:autoRedefine/>
    <w:semiHidden/>
    <w:unhideWhenUsed/>
    <w:qFormat/>
    <w:uiPriority w:val="99"/>
    <w:rPr>
      <w:b/>
      <w:bCs/>
    </w:rPr>
  </w:style>
  <w:style w:type="table" w:styleId="20">
    <w:name w:val="Table Grid"/>
    <w:basedOn w:val="19"/>
    <w:autoRedefine/>
    <w:qFormat/>
    <w:uiPriority w:val="0"/>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autoRedefine/>
    <w:qFormat/>
    <w:uiPriority w:val="0"/>
    <w:rPr>
      <w:b/>
    </w:rPr>
  </w:style>
  <w:style w:type="character" w:styleId="23">
    <w:name w:val="Hyperlink"/>
    <w:basedOn w:val="21"/>
    <w:autoRedefine/>
    <w:unhideWhenUsed/>
    <w:qFormat/>
    <w:uiPriority w:val="99"/>
    <w:rPr>
      <w:color w:val="0563C1" w:themeColor="hyperlink"/>
      <w:u w:val="single"/>
      <w14:textFill>
        <w14:solidFill>
          <w14:schemeClr w14:val="hlink"/>
        </w14:solidFill>
      </w14:textFill>
    </w:rPr>
  </w:style>
  <w:style w:type="character" w:styleId="24">
    <w:name w:val="annotation reference"/>
    <w:basedOn w:val="21"/>
    <w:autoRedefine/>
    <w:unhideWhenUsed/>
    <w:qFormat/>
    <w:uiPriority w:val="99"/>
    <w:rPr>
      <w:sz w:val="21"/>
      <w:szCs w:val="21"/>
    </w:rPr>
  </w:style>
  <w:style w:type="character" w:customStyle="1" w:styleId="25">
    <w:name w:val="标题 1 字符"/>
    <w:basedOn w:val="21"/>
    <w:link w:val="2"/>
    <w:autoRedefine/>
    <w:qFormat/>
    <w:uiPriority w:val="9"/>
    <w:rPr>
      <w:b/>
      <w:bCs/>
      <w:kern w:val="44"/>
      <w:sz w:val="44"/>
      <w:szCs w:val="44"/>
    </w:rPr>
  </w:style>
  <w:style w:type="character" w:customStyle="1" w:styleId="26">
    <w:name w:val="标题 2 字符"/>
    <w:basedOn w:val="21"/>
    <w:link w:val="3"/>
    <w:autoRedefine/>
    <w:qFormat/>
    <w:uiPriority w:val="9"/>
    <w:rPr>
      <w:rFonts w:asciiTheme="majorHAnsi" w:hAnsiTheme="majorHAnsi" w:eastAsiaTheme="majorEastAsia" w:cstheme="majorBidi"/>
      <w:b/>
      <w:bCs/>
      <w:sz w:val="32"/>
      <w:szCs w:val="32"/>
    </w:rPr>
  </w:style>
  <w:style w:type="character" w:customStyle="1" w:styleId="27">
    <w:name w:val="批注文字 字符"/>
    <w:basedOn w:val="21"/>
    <w:link w:val="5"/>
    <w:autoRedefine/>
    <w:semiHidden/>
    <w:qFormat/>
    <w:uiPriority w:val="99"/>
  </w:style>
  <w:style w:type="character" w:customStyle="1" w:styleId="28">
    <w:name w:val="页脚 字符"/>
    <w:basedOn w:val="21"/>
    <w:link w:val="10"/>
    <w:autoRedefine/>
    <w:qFormat/>
    <w:uiPriority w:val="99"/>
    <w:rPr>
      <w:sz w:val="18"/>
      <w:szCs w:val="18"/>
    </w:rPr>
  </w:style>
  <w:style w:type="character" w:customStyle="1" w:styleId="29">
    <w:name w:val="页眉 字符"/>
    <w:basedOn w:val="21"/>
    <w:link w:val="11"/>
    <w:autoRedefine/>
    <w:qFormat/>
    <w:uiPriority w:val="99"/>
    <w:rPr>
      <w:sz w:val="18"/>
      <w:szCs w:val="18"/>
    </w:rPr>
  </w:style>
  <w:style w:type="paragraph" w:styleId="30">
    <w:name w:val="List Paragraph"/>
    <w:basedOn w:val="1"/>
    <w:autoRedefine/>
    <w:qFormat/>
    <w:uiPriority w:val="34"/>
    <w:pPr>
      <w:ind w:firstLine="420" w:firstLineChars="200"/>
    </w:pPr>
  </w:style>
  <w:style w:type="table" w:customStyle="1" w:styleId="31">
    <w:name w:val="网格型1"/>
    <w:basedOn w:val="19"/>
    <w:autoRedefine/>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33">
    <w:name w:val="批注主题 字符"/>
    <w:basedOn w:val="27"/>
    <w:link w:val="18"/>
    <w:autoRedefine/>
    <w:semiHidden/>
    <w:qFormat/>
    <w:uiPriority w:val="99"/>
    <w:rPr>
      <w:b/>
      <w:bCs/>
    </w:rPr>
  </w:style>
  <w:style w:type="character" w:customStyle="1" w:styleId="34">
    <w:name w:val="批注框文本 字符"/>
    <w:basedOn w:val="21"/>
    <w:link w:val="9"/>
    <w:autoRedefine/>
    <w:semiHidden/>
    <w:qFormat/>
    <w:uiPriority w:val="99"/>
    <w:rPr>
      <w:sz w:val="18"/>
      <w:szCs w:val="18"/>
    </w:rPr>
  </w:style>
  <w:style w:type="paragraph" w:customStyle="1" w:styleId="35">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table" w:customStyle="1" w:styleId="36">
    <w:name w:val="Table Normal"/>
    <w:autoRedefine/>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9F8CD-2988-496C-B00E-A50E14432270}">
  <ds:schemaRefs/>
</ds:datastoreItem>
</file>

<file path=docProps/app.xml><?xml version="1.0" encoding="utf-8"?>
<Properties xmlns="http://schemas.openxmlformats.org/officeDocument/2006/extended-properties" xmlns:vt="http://schemas.openxmlformats.org/officeDocument/2006/docPropsVTypes">
  <Template>Normal</Template>
  <Pages>52</Pages>
  <Words>23121</Words>
  <Characters>23769</Characters>
  <Lines>1</Lines>
  <Paragraphs>1</Paragraphs>
  <TotalTime>0</TotalTime>
  <ScaleCrop>false</ScaleCrop>
  <LinksUpToDate>false</LinksUpToDate>
  <CharactersWithSpaces>23842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2023-06-09T07:34:00Z</dcterms:created>
  <dc:creator>li dun</dc:creator>
  <cp:lastModifiedBy>Ada</cp:lastModifiedBy>
  <dcterms:modified xsi:type="dcterms:W3CDTF">2024-06-04T10:52:21Z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0C230474E57649C1B36C50CE7A213608_13</vt:lpwstr>
  </property>
</Properties>
</file>