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E3B04">
      <w:pPr>
        <w:pStyle w:val="5"/>
        <w:pageBreakBefore/>
        <w:spacing w:before="50" w:after="120"/>
        <w:rPr>
          <w:rFonts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附件</w:t>
      </w:r>
      <w:r>
        <w:rPr>
          <w:rFonts w:hint="eastAsia" w:asciiTheme="majorEastAsia" w:hAnsiTheme="majorEastAsia" w:eastAsiaTheme="majorEastAsia"/>
          <w:b/>
          <w:color w:val="000000" w:themeColor="text1"/>
          <w:lang w:val="en-US" w:eastAsia="zh-CN"/>
          <w14:textFill>
            <w14:solidFill>
              <w14:schemeClr w14:val="tx1"/>
            </w14:solidFill>
          </w14:textFill>
        </w:rPr>
        <w:t>1</w:t>
      </w:r>
      <w:r>
        <w:rPr>
          <w:rFonts w:hint="eastAsia" w:asciiTheme="majorEastAsia" w:hAnsiTheme="majorEastAsia" w:eastAsiaTheme="majorEastAsia"/>
          <w:b/>
          <w:color w:val="000000" w:themeColor="text1"/>
          <w14:textFill>
            <w14:solidFill>
              <w14:schemeClr w14:val="tx1"/>
            </w14:solidFill>
          </w14:textFill>
        </w:rPr>
        <w:t>：</w:t>
      </w:r>
    </w:p>
    <w:p w14:paraId="038AFA20">
      <w:pPr>
        <w:pStyle w:val="5"/>
        <w:spacing w:before="120" w:beforeLines="50" w:after="120" w:afterLines="50"/>
        <w:jc w:val="center"/>
        <w:rPr>
          <w:rFonts w:asciiTheme="majorEastAsia" w:hAnsiTheme="majorEastAsia" w:eastAsiaTheme="majorEastAsia"/>
          <w:b/>
          <w:color w:val="000000" w:themeColor="text1"/>
          <w:sz w:val="24"/>
          <w:szCs w:val="24"/>
          <w14:textFill>
            <w14:solidFill>
              <w14:schemeClr w14:val="tx1"/>
            </w14:solidFill>
          </w14:textFill>
        </w:rPr>
      </w:pPr>
      <w:r>
        <w:rPr>
          <w:rFonts w:hint="eastAsia" w:asciiTheme="majorEastAsia" w:hAnsiTheme="majorEastAsia" w:eastAsiaTheme="majorEastAsia"/>
          <w:b/>
          <w:color w:val="000000" w:themeColor="text1"/>
          <w:sz w:val="24"/>
          <w:szCs w:val="24"/>
          <w14:textFill>
            <w14:solidFill>
              <w14:schemeClr w14:val="tx1"/>
            </w14:solidFill>
          </w14:textFill>
        </w:rPr>
        <w:t>华东师范大学和新加坡国立大学</w:t>
      </w:r>
    </w:p>
    <w:p w14:paraId="05AA3FCC">
      <w:pPr>
        <w:pStyle w:val="5"/>
        <w:spacing w:before="120" w:beforeLines="50" w:after="120" w:afterLines="50"/>
        <w:jc w:val="center"/>
        <w:rPr>
          <w:rFonts w:asciiTheme="majorEastAsia" w:hAnsiTheme="majorEastAsia" w:eastAsiaTheme="majorEastAsia"/>
          <w:b/>
          <w:color w:val="000000" w:themeColor="text1"/>
          <w:sz w:val="24"/>
          <w:szCs w:val="24"/>
          <w14:textFill>
            <w14:solidFill>
              <w14:schemeClr w14:val="tx1"/>
            </w14:solidFill>
          </w14:textFill>
        </w:rPr>
      </w:pPr>
      <w:r>
        <w:rPr>
          <w:rFonts w:hint="eastAsia" w:asciiTheme="majorEastAsia" w:hAnsiTheme="majorEastAsia" w:eastAsiaTheme="majorEastAsia"/>
          <w:b/>
          <w:color w:val="000000" w:themeColor="text1"/>
          <w:sz w:val="24"/>
          <w:szCs w:val="24"/>
          <w14:textFill>
            <w14:solidFill>
              <w14:schemeClr w14:val="tx1"/>
            </w14:solidFill>
          </w14:textFill>
        </w:rPr>
        <w:t>关于合作举办“3+1+1”联合培养项目框架实施细则</w:t>
      </w:r>
    </w:p>
    <w:p w14:paraId="6F5E21FD">
      <w:pPr>
        <w:spacing w:before="50" w:after="120"/>
        <w:rPr>
          <w:rFonts w:asciiTheme="majorEastAsia" w:hAnsiTheme="majorEastAsia" w:eastAsiaTheme="majorEastAsia"/>
          <w:color w:val="000000" w:themeColor="text1"/>
          <w14:textFill>
            <w14:solidFill>
              <w14:schemeClr w14:val="tx1"/>
            </w14:solidFill>
          </w14:textFill>
        </w:rPr>
      </w:pPr>
    </w:p>
    <w:p w14:paraId="094ADF8C">
      <w:pPr>
        <w:pStyle w:val="6"/>
        <w:widowControl w:val="0"/>
        <w:numPr>
          <w:ilvl w:val="0"/>
          <w:numId w:val="1"/>
        </w:numPr>
        <w:spacing w:before="120" w:beforeLines="50" w:after="120" w:afterLines="50" w:line="360" w:lineRule="auto"/>
        <w:contextualSpacing/>
        <w:jc w:val="both"/>
        <w:rPr>
          <w:rFonts w:asciiTheme="majorEastAsia" w:hAnsiTheme="majorEastAsia" w:eastAsiaTheme="majorEastAsia"/>
          <w:b/>
          <w:color w:val="000000" w:themeColor="text1"/>
          <w:sz w:val="24"/>
          <w:szCs w:val="24"/>
          <w14:textFill>
            <w14:solidFill>
              <w14:schemeClr w14:val="tx1"/>
            </w14:solidFill>
          </w14:textFill>
        </w:rPr>
      </w:pPr>
      <w:r>
        <w:rPr>
          <w:rFonts w:hint="eastAsia" w:asciiTheme="majorEastAsia" w:hAnsiTheme="majorEastAsia" w:eastAsiaTheme="majorEastAsia"/>
          <w:b/>
          <w:color w:val="000000" w:themeColor="text1"/>
          <w:sz w:val="24"/>
          <w:szCs w:val="24"/>
          <w14:textFill>
            <w14:solidFill>
              <w14:schemeClr w14:val="tx1"/>
            </w14:solidFill>
          </w14:textFill>
        </w:rPr>
        <w:t>合作简介</w:t>
      </w:r>
    </w:p>
    <w:p w14:paraId="186EC26C">
      <w:pPr>
        <w:spacing w:before="120" w:beforeLines="50" w:after="120" w:afterLines="50" w:line="360" w:lineRule="auto"/>
        <w:ind w:firstLine="480" w:firstLineChars="20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根据拟定的“3+1+1” 联合培养项目合作框</w:t>
      </w:r>
      <w:bookmarkStart w:id="1" w:name="_GoBack"/>
      <w:bookmarkEnd w:id="1"/>
      <w:r>
        <w:rPr>
          <w:rFonts w:hint="eastAsia" w:asciiTheme="majorEastAsia" w:hAnsiTheme="majorEastAsia" w:eastAsiaTheme="majorEastAsia"/>
          <w:color w:val="000000" w:themeColor="text1"/>
          <w:sz w:val="24"/>
          <w:szCs w:val="24"/>
          <w14:textFill>
            <w14:solidFill>
              <w14:schemeClr w14:val="tx1"/>
            </w14:solidFill>
          </w14:textFill>
        </w:rPr>
        <w:t>架，生环学院</w:t>
      </w:r>
      <w:r>
        <w:rPr>
          <w:rFonts w:asciiTheme="majorEastAsia" w:hAnsiTheme="majorEastAsia" w:eastAsiaTheme="majorEastAsia"/>
          <w:color w:val="000000" w:themeColor="text1"/>
          <w:sz w:val="24"/>
          <w:szCs w:val="24"/>
          <w14:textFill>
            <w14:solidFill>
              <w14:schemeClr w14:val="tx1"/>
            </w14:solidFill>
          </w14:textFill>
        </w:rPr>
        <w:t>大三学生将有机会</w:t>
      </w:r>
      <w:r>
        <w:rPr>
          <w:rFonts w:hint="eastAsia" w:asciiTheme="majorEastAsia" w:hAnsiTheme="majorEastAsia" w:eastAsiaTheme="majorEastAsia"/>
          <w:color w:val="000000" w:themeColor="text1"/>
          <w:sz w:val="24"/>
          <w:szCs w:val="24"/>
          <w14:textFill>
            <w14:solidFill>
              <w14:schemeClr w14:val="tx1"/>
            </w14:solidFill>
          </w14:textFill>
        </w:rPr>
        <w:t>被选拔参加在新国大苏研院举办的为期</w:t>
      </w:r>
      <w:r>
        <w:rPr>
          <w:rFonts w:asciiTheme="majorEastAsia" w:hAnsiTheme="majorEastAsia" w:eastAsiaTheme="majorEastAsia"/>
          <w:color w:val="000000" w:themeColor="text1"/>
          <w:sz w:val="24"/>
          <w:szCs w:val="24"/>
          <w14:textFill>
            <w14:solidFill>
              <w14:schemeClr w14:val="tx1"/>
            </w14:solidFill>
          </w14:textFill>
        </w:rPr>
        <w:t>一</w:t>
      </w:r>
      <w:r>
        <w:rPr>
          <w:rFonts w:hint="eastAsia" w:asciiTheme="majorEastAsia" w:hAnsiTheme="majorEastAsia" w:eastAsiaTheme="majorEastAsia"/>
          <w:color w:val="000000" w:themeColor="text1"/>
          <w:sz w:val="24"/>
          <w:szCs w:val="24"/>
          <w14:textFill>
            <w14:solidFill>
              <w14:schemeClr w14:val="tx1"/>
            </w14:solidFill>
          </w14:textFill>
        </w:rPr>
        <w:t>年的衔接课程，即“3+1+1” 联合培养项目中的第一个“+1”。衔接课程期间，学生主攻英语（包括写作与沟通技巧）以及</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hint="eastAsia" w:asciiTheme="majorEastAsia" w:hAnsiTheme="majorEastAsia" w:eastAsiaTheme="majorEastAsia"/>
          <w:color w:val="000000" w:themeColor="text1"/>
          <w:sz w:val="24"/>
          <w:szCs w:val="24"/>
          <w14:textFill>
            <w14:solidFill>
              <w14:schemeClr w14:val="tx1"/>
            </w14:solidFill>
          </w14:textFill>
        </w:rPr>
        <w:t>工程领域的专业知识，为硕士课程（即“3+1+1” 联合培养项目中的第二个“+1”）做衔接准备。该培养项目整个学制安排如下：</w:t>
      </w:r>
      <w:r>
        <w:rPr>
          <w:rFonts w:asciiTheme="majorEastAsia" w:hAnsiTheme="majorEastAsia" w:eastAsiaTheme="majorEastAsia"/>
          <w:color w:val="000000" w:themeColor="text1"/>
          <w:sz w:val="24"/>
          <w:szCs w:val="24"/>
          <w14:textFill>
            <w14:solidFill>
              <w14:schemeClr w14:val="tx1"/>
            </w14:solidFill>
          </w14:textFill>
        </w:rPr>
        <w:t xml:space="preserve"> </w:t>
      </w:r>
    </w:p>
    <w:p w14:paraId="6C25646D">
      <w:pPr>
        <w:pStyle w:val="6"/>
        <w:spacing w:before="50" w:after="120"/>
        <w:ind w:left="66"/>
        <w:jc w:val="both"/>
        <w:rPr>
          <w:rFonts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lang w:val="en-US"/>
          <w14:textFill>
            <w14:solidFill>
              <w14:schemeClr w14:val="tx1"/>
            </w14:solidFill>
          </w14:textFill>
        </w:rPr>
        <mc:AlternateContent>
          <mc:Choice Requires="wpg">
            <w:drawing>
              <wp:anchor distT="0" distB="0" distL="114300" distR="114300" simplePos="0" relativeHeight="251659264" behindDoc="0" locked="0" layoutInCell="1" allowOverlap="1">
                <wp:simplePos x="0" y="0"/>
                <wp:positionH relativeFrom="column">
                  <wp:posOffset>476250</wp:posOffset>
                </wp:positionH>
                <wp:positionV relativeFrom="paragraph">
                  <wp:posOffset>6985</wp:posOffset>
                </wp:positionV>
                <wp:extent cx="5105400" cy="2190750"/>
                <wp:effectExtent l="6350" t="4445" r="12700" b="14605"/>
                <wp:wrapNone/>
                <wp:docPr id="2066297543" name="Group 2"/>
                <wp:cNvGraphicFramePr/>
                <a:graphic xmlns:a="http://schemas.openxmlformats.org/drawingml/2006/main">
                  <a:graphicData uri="http://schemas.microsoft.com/office/word/2010/wordprocessingGroup">
                    <wpg:wgp>
                      <wpg:cNvGrpSpPr/>
                      <wpg:grpSpPr>
                        <a:xfrm>
                          <a:off x="0" y="0"/>
                          <a:ext cx="5105400" cy="2190750"/>
                          <a:chOff x="2427" y="9986"/>
                          <a:chExt cx="8040" cy="3450"/>
                        </a:xfrm>
                      </wpg:grpSpPr>
                      <wps:wsp>
                        <wps:cNvPr id="502666853" name="Rectangle 5"/>
                        <wps:cNvSpPr>
                          <a:spLocks noChangeArrowheads="1"/>
                        </wps:cNvSpPr>
                        <wps:spPr bwMode="auto">
                          <a:xfrm>
                            <a:off x="7437" y="11368"/>
                            <a:ext cx="2329" cy="703"/>
                          </a:xfrm>
                          <a:prstGeom prst="rect">
                            <a:avLst/>
                          </a:prstGeom>
                          <a:noFill/>
                          <a:ln w="12700">
                            <a:solidFill>
                              <a:schemeClr val="tx1">
                                <a:lumMod val="100000"/>
                                <a:lumOff val="0"/>
                              </a:schemeClr>
                            </a:solidFill>
                            <a:miter lim="800000"/>
                          </a:ln>
                        </wps:spPr>
                        <wps:txbx>
                          <w:txbxContent>
                            <w:p w14:paraId="09B7C1D7">
                              <w:pPr>
                                <w:spacing w:before="120" w:after="120"/>
                                <w:jc w:val="center"/>
                              </w:pPr>
                              <w:r>
                                <w:rPr>
                                  <w:rFonts w:hint="eastAsia"/>
                                </w:rPr>
                                <w:t>课程硕士项目</w:t>
                              </w:r>
                            </w:p>
                          </w:txbxContent>
                        </wps:txbx>
                        <wps:bodyPr rot="0" vert="horz" wrap="square" lIns="91440" tIns="45720" rIns="91440" bIns="45720" anchor="ctr" anchorCtr="0" upright="1">
                          <a:noAutofit/>
                        </wps:bodyPr>
                      </wps:wsp>
                      <wpg:grpSp>
                        <wpg:cNvPr id="907247194" name="Group 12"/>
                        <wpg:cNvGrpSpPr/>
                        <wpg:grpSpPr>
                          <a:xfrm>
                            <a:off x="2427" y="11362"/>
                            <a:ext cx="2868" cy="710"/>
                            <a:chOff x="2119" y="3743"/>
                            <a:chExt cx="2868" cy="710"/>
                          </a:xfrm>
                        </wpg:grpSpPr>
                        <wps:wsp>
                          <wps:cNvPr id="1874111018" name="Rectangle 10"/>
                          <wps:cNvSpPr>
                            <a:spLocks noChangeArrowheads="1"/>
                          </wps:cNvSpPr>
                          <wps:spPr bwMode="auto">
                            <a:xfrm>
                              <a:off x="4062" y="3744"/>
                              <a:ext cx="925" cy="709"/>
                            </a:xfrm>
                            <a:prstGeom prst="rect">
                              <a:avLst/>
                            </a:prstGeom>
                            <a:noFill/>
                            <a:ln w="12700">
                              <a:solidFill>
                                <a:schemeClr val="tx1">
                                  <a:lumMod val="100000"/>
                                  <a:lumOff val="0"/>
                                </a:schemeClr>
                              </a:solidFill>
                              <a:miter lim="800000"/>
                            </a:ln>
                          </wps:spPr>
                          <wps:txbx>
                            <w:txbxContent>
                              <w:p w14:paraId="6E53B6B9">
                                <w:pPr>
                                  <w:spacing w:before="120" w:after="120"/>
                                  <w:jc w:val="center"/>
                                  <w:rPr>
                                    <w:szCs w:val="21"/>
                                  </w:rPr>
                                </w:pPr>
                                <w:r>
                                  <w:rPr>
                                    <w:rFonts w:hint="eastAsia"/>
                                    <w:szCs w:val="21"/>
                                  </w:rPr>
                                  <w:t>大三</w:t>
                                </w:r>
                              </w:p>
                            </w:txbxContent>
                          </wps:txbx>
                          <wps:bodyPr rot="0" vert="horz" wrap="square" lIns="91440" tIns="45720" rIns="91440" bIns="45720" anchor="ctr" anchorCtr="0" upright="1">
                            <a:noAutofit/>
                          </wps:bodyPr>
                        </wps:wsp>
                        <wpg:grpSp>
                          <wpg:cNvPr id="873595402" name="Group 25"/>
                          <wpg:cNvGrpSpPr/>
                          <wpg:grpSpPr>
                            <a:xfrm>
                              <a:off x="2119" y="3743"/>
                              <a:ext cx="1942" cy="709"/>
                              <a:chOff x="-391" y="-8"/>
                              <a:chExt cx="12341" cy="5412"/>
                            </a:xfrm>
                          </wpg:grpSpPr>
                          <wps:wsp>
                            <wps:cNvPr id="272152311" name="Rectangle 11"/>
                            <wps:cNvSpPr>
                              <a:spLocks noChangeArrowheads="1"/>
                            </wps:cNvSpPr>
                            <wps:spPr bwMode="auto">
                              <a:xfrm>
                                <a:off x="5827" y="-8"/>
                                <a:ext cx="6123" cy="5412"/>
                              </a:xfrm>
                              <a:prstGeom prst="rect">
                                <a:avLst/>
                              </a:prstGeom>
                              <a:noFill/>
                              <a:ln w="12700">
                                <a:solidFill>
                                  <a:schemeClr val="tx1">
                                    <a:lumMod val="100000"/>
                                    <a:lumOff val="0"/>
                                  </a:schemeClr>
                                </a:solidFill>
                                <a:miter lim="800000"/>
                              </a:ln>
                            </wps:spPr>
                            <wps:txbx>
                              <w:txbxContent>
                                <w:p w14:paraId="38033085">
                                  <w:pPr>
                                    <w:spacing w:before="120" w:after="120"/>
                                    <w:jc w:val="center"/>
                                    <w:rPr>
                                      <w:szCs w:val="21"/>
                                    </w:rPr>
                                  </w:pPr>
                                  <w:r>
                                    <w:rPr>
                                      <w:rFonts w:hint="eastAsia"/>
                                      <w:szCs w:val="21"/>
                                    </w:rPr>
                                    <w:t>大二</w:t>
                                  </w:r>
                                </w:p>
                              </w:txbxContent>
                            </wps:txbx>
                            <wps:bodyPr rot="0" vert="horz" wrap="square" lIns="91440" tIns="45720" rIns="91440" bIns="45720" anchor="ctr" anchorCtr="0" upright="1">
                              <a:noAutofit/>
                            </wps:bodyPr>
                          </wps:wsp>
                          <wps:wsp>
                            <wps:cNvPr id="1400303855" name="Rectangle 12"/>
                            <wps:cNvSpPr>
                              <a:spLocks noChangeArrowheads="1"/>
                            </wps:cNvSpPr>
                            <wps:spPr bwMode="auto">
                              <a:xfrm>
                                <a:off x="-391" y="-8"/>
                                <a:ext cx="6123" cy="5409"/>
                              </a:xfrm>
                              <a:prstGeom prst="rect">
                                <a:avLst/>
                              </a:prstGeom>
                              <a:noFill/>
                              <a:ln w="12700">
                                <a:solidFill>
                                  <a:schemeClr val="tx1">
                                    <a:lumMod val="100000"/>
                                    <a:lumOff val="0"/>
                                  </a:schemeClr>
                                </a:solidFill>
                                <a:miter lim="800000"/>
                              </a:ln>
                            </wps:spPr>
                            <wps:txbx>
                              <w:txbxContent>
                                <w:p w14:paraId="786B4A66">
                                  <w:pPr>
                                    <w:spacing w:before="120" w:after="120"/>
                                    <w:jc w:val="center"/>
                                    <w:rPr>
                                      <w:szCs w:val="21"/>
                                    </w:rPr>
                                  </w:pPr>
                                  <w:r>
                                    <w:rPr>
                                      <w:rFonts w:hint="eastAsia"/>
                                      <w:szCs w:val="21"/>
                                    </w:rPr>
                                    <w:t>大一</w:t>
                                  </w:r>
                                </w:p>
                              </w:txbxContent>
                            </wps:txbx>
                            <wps:bodyPr rot="0" vert="horz" wrap="square" lIns="91440" tIns="45720" rIns="91440" bIns="45720" anchor="ctr" anchorCtr="0" upright="1">
                              <a:noAutofit/>
                            </wps:bodyPr>
                          </wps:wsp>
                        </wpg:grpSp>
                      </wpg:grpSp>
                      <wps:wsp>
                        <wps:cNvPr id="1024389993" name="Rectangle 21"/>
                        <wps:cNvSpPr>
                          <a:spLocks noChangeArrowheads="1"/>
                        </wps:cNvSpPr>
                        <wps:spPr bwMode="auto">
                          <a:xfrm>
                            <a:off x="5404" y="11363"/>
                            <a:ext cx="1853" cy="709"/>
                          </a:xfrm>
                          <a:prstGeom prst="rect">
                            <a:avLst/>
                          </a:prstGeom>
                          <a:noFill/>
                          <a:ln w="12700">
                            <a:solidFill>
                              <a:schemeClr val="tx1">
                                <a:lumMod val="100000"/>
                                <a:lumOff val="0"/>
                              </a:schemeClr>
                            </a:solidFill>
                            <a:miter lim="800000"/>
                          </a:ln>
                        </wps:spPr>
                        <wps:txbx>
                          <w:txbxContent>
                            <w:p w14:paraId="1E0420E2">
                              <w:pPr>
                                <w:jc w:val="center"/>
                                <w:rPr>
                                  <w:szCs w:val="21"/>
                                </w:rPr>
                              </w:pPr>
                              <w:r>
                                <w:rPr>
                                  <w:rFonts w:hint="eastAsia"/>
                                  <w:szCs w:val="21"/>
                                </w:rPr>
                                <w:t>大四</w:t>
                              </w:r>
                            </w:p>
                            <w:p w14:paraId="1F6E3BD8">
                              <w:pPr>
                                <w:jc w:val="center"/>
                                <w:rPr>
                                  <w:szCs w:val="20"/>
                                </w:rPr>
                              </w:pPr>
                              <w:r>
                                <w:rPr>
                                  <w:rFonts w:hint="eastAsia"/>
                                  <w:szCs w:val="20"/>
                                </w:rPr>
                                <w:t>课程&amp;毕业论文</w:t>
                              </w:r>
                            </w:p>
                          </w:txbxContent>
                        </wps:txbx>
                        <wps:bodyPr rot="0" vert="horz" wrap="square" lIns="91440" tIns="45720" rIns="91440" bIns="45720" anchor="ctr" anchorCtr="0" upright="1">
                          <a:noAutofit/>
                        </wps:bodyPr>
                      </wps:wsp>
                      <wps:wsp>
                        <wps:cNvPr id="2057051374" name="Right Brace 16"/>
                        <wps:cNvSpPr/>
                        <wps:spPr bwMode="auto">
                          <a:xfrm rot="5400000">
                            <a:off x="3817" y="9695"/>
                            <a:ext cx="226" cy="2789"/>
                          </a:xfrm>
                          <a:prstGeom prst="rightBrace">
                            <a:avLst>
                              <a:gd name="adj1" fmla="val 8803"/>
                              <a:gd name="adj2" fmla="val 49009"/>
                            </a:avLst>
                          </a:prstGeom>
                          <a:noFill/>
                          <a:ln w="12700">
                            <a:solidFill>
                              <a:schemeClr val="tx1">
                                <a:lumMod val="100000"/>
                                <a:lumOff val="0"/>
                              </a:schemeClr>
                            </a:solidFill>
                            <a:miter lim="800000"/>
                          </a:ln>
                        </wps:spPr>
                        <wps:bodyPr rot="0" vert="horz" wrap="square" lIns="91440" tIns="45720" rIns="91440" bIns="45720" anchor="ctr" anchorCtr="0" upright="1">
                          <a:noAutofit/>
                        </wps:bodyPr>
                      </wps:wsp>
                      <wps:wsp>
                        <wps:cNvPr id="1632103801" name="TextBox 25"/>
                        <wps:cNvSpPr txBox="1">
                          <a:spLocks noChangeArrowheads="1"/>
                        </wps:cNvSpPr>
                        <wps:spPr bwMode="auto">
                          <a:xfrm>
                            <a:off x="2442" y="9986"/>
                            <a:ext cx="2853" cy="960"/>
                          </a:xfrm>
                          <a:prstGeom prst="rect">
                            <a:avLst/>
                          </a:prstGeom>
                          <a:noFill/>
                          <a:ln w="9525">
                            <a:solidFill>
                              <a:schemeClr val="tx1">
                                <a:lumMod val="100000"/>
                                <a:lumOff val="0"/>
                              </a:schemeClr>
                            </a:solidFill>
                            <a:miter lim="800000"/>
                          </a:ln>
                        </wps:spPr>
                        <wps:txbx>
                          <w:txbxContent>
                            <w:p w14:paraId="430E6919">
                              <w:pPr>
                                <w:pStyle w:val="2"/>
                                <w:spacing w:before="120" w:beforeAutospacing="0" w:after="120" w:afterAutospacing="0"/>
                                <w:jc w:val="center"/>
                                <w:rPr>
                                  <w:rFonts w:ascii="Calibri" w:hAnsi="Calibri"/>
                                  <w:color w:val="000000"/>
                                  <w:kern w:val="24"/>
                                  <w:sz w:val="22"/>
                                  <w:szCs w:val="21"/>
                                </w:rPr>
                              </w:pPr>
                              <w:r>
                                <w:rPr>
                                  <w:rFonts w:hint="eastAsia" w:ascii="Calibri" w:hAnsi="Calibri"/>
                                  <w:color w:val="000000"/>
                                  <w:kern w:val="24"/>
                                  <w:sz w:val="22"/>
                                  <w:szCs w:val="21"/>
                                </w:rPr>
                                <w:t>攻读学士学位</w:t>
                              </w:r>
                            </w:p>
                            <w:p w14:paraId="1AE2BF46">
                              <w:pPr>
                                <w:pStyle w:val="2"/>
                                <w:spacing w:before="120" w:beforeAutospacing="0" w:after="120" w:afterAutospacing="0"/>
                                <w:jc w:val="center"/>
                                <w:rPr>
                                  <w:rFonts w:ascii="Calibri" w:hAnsi="Calibri"/>
                                  <w:color w:val="000000"/>
                                  <w:kern w:val="24"/>
                                  <w:sz w:val="22"/>
                                  <w:szCs w:val="21"/>
                                </w:rPr>
                              </w:pPr>
                              <w:r>
                                <w:rPr>
                                  <w:rFonts w:hint="eastAsia" w:ascii="Calibri" w:hAnsi="Calibri"/>
                                  <w:color w:val="000000"/>
                                  <w:kern w:val="24"/>
                                  <w:sz w:val="22"/>
                                  <w:szCs w:val="21"/>
                                </w:rPr>
                                <w:t>@</w:t>
                              </w:r>
                              <w:r>
                                <w:rPr>
                                  <w:rFonts w:hint="eastAsia" w:asciiTheme="majorEastAsia" w:hAnsiTheme="majorEastAsia" w:eastAsiaTheme="majorEastAsia"/>
                                  <w:color w:val="000000" w:themeColor="text1"/>
                                  <w14:textFill>
                                    <w14:solidFill>
                                      <w14:schemeClr w14:val="tx1"/>
                                    </w14:solidFill>
                                  </w14:textFill>
                                </w:rPr>
                                <w:t>华东师大生环学院</w:t>
                              </w:r>
                            </w:p>
                          </w:txbxContent>
                        </wps:txbx>
                        <wps:bodyPr rot="0" vert="horz" wrap="square" lIns="91440" tIns="45720" rIns="91440" bIns="45720" anchor="t" anchorCtr="0" upright="1">
                          <a:noAutofit/>
                        </wps:bodyPr>
                      </wps:wsp>
                      <wps:wsp>
                        <wps:cNvPr id="1646608832" name="Right Brace 19"/>
                        <wps:cNvSpPr/>
                        <wps:spPr bwMode="auto">
                          <a:xfrm rot="5400000">
                            <a:off x="6244" y="11383"/>
                            <a:ext cx="172" cy="1643"/>
                          </a:xfrm>
                          <a:prstGeom prst="rightBrace">
                            <a:avLst>
                              <a:gd name="adj1" fmla="val 8845"/>
                              <a:gd name="adj2" fmla="val 49009"/>
                            </a:avLst>
                          </a:prstGeom>
                          <a:noFill/>
                          <a:ln w="12700">
                            <a:solidFill>
                              <a:schemeClr val="tx1">
                                <a:lumMod val="100000"/>
                                <a:lumOff val="0"/>
                              </a:schemeClr>
                            </a:solidFill>
                            <a:miter lim="800000"/>
                          </a:ln>
                        </wps:spPr>
                        <wps:bodyPr rot="0" vert="horz" wrap="square" lIns="91440" tIns="45720" rIns="91440" bIns="45720" anchor="ctr" anchorCtr="0" upright="1">
                          <a:noAutofit/>
                        </wps:bodyPr>
                      </wps:wsp>
                      <wps:wsp>
                        <wps:cNvPr id="437012910" name="Text Box 31"/>
                        <wps:cNvSpPr txBox="1">
                          <a:spLocks noChangeArrowheads="1"/>
                        </wps:cNvSpPr>
                        <wps:spPr bwMode="auto">
                          <a:xfrm>
                            <a:off x="5157" y="12482"/>
                            <a:ext cx="1998" cy="954"/>
                          </a:xfrm>
                          <a:prstGeom prst="rect">
                            <a:avLst/>
                          </a:prstGeom>
                          <a:noFill/>
                          <a:ln w="6350">
                            <a:solidFill>
                              <a:srgbClr val="000000"/>
                            </a:solidFill>
                            <a:miter lim="800000"/>
                          </a:ln>
                        </wps:spPr>
                        <wps:txbx>
                          <w:txbxContent>
                            <w:p w14:paraId="681A5933">
                              <w:pPr>
                                <w:spacing w:before="120" w:after="120"/>
                                <w:jc w:val="center"/>
                                <w:rPr>
                                  <w:szCs w:val="21"/>
                                </w:rPr>
                              </w:pPr>
                              <w:r>
                                <w:rPr>
                                  <w:rFonts w:hint="eastAsia"/>
                                  <w:szCs w:val="21"/>
                                </w:rPr>
                                <w:t>衔接课程</w:t>
                              </w:r>
                            </w:p>
                            <w:p w14:paraId="55DCF4DC">
                              <w:pPr>
                                <w:spacing w:before="120" w:after="120"/>
                                <w:jc w:val="center"/>
                                <w:rPr>
                                  <w:szCs w:val="21"/>
                                </w:rPr>
                              </w:pPr>
                              <w:r>
                                <w:rPr>
                                  <w:szCs w:val="21"/>
                                </w:rPr>
                                <w:t>@ 新国大苏研院</w:t>
                              </w:r>
                            </w:p>
                          </w:txbxContent>
                        </wps:txbx>
                        <wps:bodyPr rot="0" vert="horz" wrap="square" lIns="91440" tIns="45720" rIns="91440" bIns="45720" anchor="t" anchorCtr="0" upright="1">
                          <a:noAutofit/>
                        </wps:bodyPr>
                      </wps:wsp>
                      <wps:wsp>
                        <wps:cNvPr id="1323753397" name="Right Brace 20"/>
                        <wps:cNvSpPr/>
                        <wps:spPr bwMode="auto">
                          <a:xfrm rot="5400000">
                            <a:off x="8480" y="11094"/>
                            <a:ext cx="236" cy="2276"/>
                          </a:xfrm>
                          <a:prstGeom prst="rightBrace">
                            <a:avLst>
                              <a:gd name="adj1" fmla="val 8840"/>
                              <a:gd name="adj2" fmla="val 49009"/>
                            </a:avLst>
                          </a:prstGeom>
                          <a:noFill/>
                          <a:ln w="12700">
                            <a:solidFill>
                              <a:schemeClr val="tx1">
                                <a:lumMod val="100000"/>
                                <a:lumOff val="0"/>
                              </a:schemeClr>
                            </a:solidFill>
                            <a:miter lim="800000"/>
                          </a:ln>
                        </wps:spPr>
                        <wps:bodyPr rot="0" vert="horz" wrap="square" lIns="91440" tIns="45720" rIns="91440" bIns="45720" anchor="ctr" anchorCtr="0" upright="1">
                          <a:noAutofit/>
                        </wps:bodyPr>
                      </wps:wsp>
                      <wps:wsp>
                        <wps:cNvPr id="1216306246" name="Text Box 9"/>
                        <wps:cNvSpPr txBox="1">
                          <a:spLocks noChangeArrowheads="1"/>
                        </wps:cNvSpPr>
                        <wps:spPr bwMode="auto">
                          <a:xfrm>
                            <a:off x="7257" y="12482"/>
                            <a:ext cx="3210" cy="954"/>
                          </a:xfrm>
                          <a:prstGeom prst="rect">
                            <a:avLst/>
                          </a:prstGeom>
                          <a:noFill/>
                          <a:ln w="6350">
                            <a:solidFill>
                              <a:srgbClr val="000000"/>
                            </a:solidFill>
                            <a:miter lim="800000"/>
                          </a:ln>
                        </wps:spPr>
                        <wps:txbx>
                          <w:txbxContent>
                            <w:p w14:paraId="5E57CCCE">
                              <w:pPr>
                                <w:spacing w:before="120" w:after="120"/>
                                <w:jc w:val="center"/>
                                <w:rPr>
                                  <w:szCs w:val="20"/>
                                </w:rPr>
                              </w:pPr>
                              <w:r>
                                <w:rPr>
                                  <w:rFonts w:hint="eastAsia"/>
                                  <w:szCs w:val="20"/>
                                </w:rPr>
                                <w:t>一年制课程硕士</w:t>
                              </w:r>
                            </w:p>
                            <w:p w14:paraId="6958D712">
                              <w:pPr>
                                <w:spacing w:before="120" w:after="120"/>
                                <w:jc w:val="center"/>
                                <w:rPr>
                                  <w:szCs w:val="20"/>
                                </w:rPr>
                              </w:pPr>
                              <w:r>
                                <w:rPr>
                                  <w:rFonts w:hint="eastAsia"/>
                                  <w:szCs w:val="20"/>
                                </w:rPr>
                                <w:t>@新国大土木与环境工程系</w:t>
                              </w:r>
                            </w:p>
                            <w:p w14:paraId="103FBE62">
                              <w:pPr>
                                <w:spacing w:before="120" w:after="120"/>
                                <w:jc w:val="center"/>
                                <w:rPr>
                                  <w:lang w:val="en-US"/>
                                </w:rPr>
                              </w:pPr>
                              <w:r>
                                <w:rPr>
                                  <w:sz w:val="21"/>
                                  <w:szCs w:val="20"/>
                                </w:rPr>
                                <w:t xml:space="preserve"> @ </w:t>
                              </w:r>
                              <w:r>
                                <w:rPr>
                                  <w:rFonts w:hint="eastAsia"/>
                                  <w:sz w:val="21"/>
                                  <w:szCs w:val="20"/>
                                </w:rPr>
                                <w:t>新国大</w:t>
                              </w:r>
                              <w:r>
                                <w:rPr>
                                  <w:rFonts w:hint="eastAsia"/>
                                  <w:sz w:val="21"/>
                                  <w:szCs w:val="21"/>
                                </w:rPr>
                                <w:t>土木与环境工程系</w:t>
                              </w:r>
                            </w:p>
                          </w:txbxContent>
                        </wps:txbx>
                        <wps:bodyPr rot="0" vert="horz" wrap="square" lIns="91440" tIns="45720" rIns="91440" bIns="45720" anchor="t" anchorCtr="0" upright="1">
                          <a:noAutofit/>
                        </wps:bodyPr>
                      </wps:wsp>
                    </wpg:wgp>
                  </a:graphicData>
                </a:graphic>
              </wp:anchor>
            </w:drawing>
          </mc:Choice>
          <mc:Fallback>
            <w:pict>
              <v:group id="Group 2" o:spid="_x0000_s1026" o:spt="203" style="position:absolute;left:0pt;margin-left:37.5pt;margin-top:0.55pt;height:172.5pt;width:402pt;z-index:251659264;mso-width-relative:page;mso-height-relative:page;" coordorigin="2427,9986" coordsize="8040,3450" o:gfxdata="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">
                <o:lock v:ext="edit" aspectratio="f"/>
                <v:rect id="Rectangle 5" o:spid="_x0000_s1026" o:spt="1" style="position:absolute;left:7437;top:11368;height:703;width:2329;v-text-anchor:middle;" filled="f" stroked="t" coordsize="21600,21600" o:gfxdata="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b&#10;coBVwwAAAOIAAAAPAAAAAAAAAAEAIAAAACIAAABkcnMvZG93bnJldi54bWxQSwECFAAUAAAACACH&#10;TuJAMy8FnjsAAAA5AAAAEAAAAAAAAAABACAAAAASAQAAZHJzL3NoYXBleG1sLnhtbFBLBQYAAAAA&#10;BgAGAFsBAAC8AwAAAAA=&#10;">
                  <v:fill on="f" focussize="0,0"/>
                  <v:stroke weight="1pt" color="#000000 [3229]" miterlimit="8" joinstyle="miter"/>
                  <v:imagedata o:title=""/>
                  <o:lock v:ext="edit" aspectratio="f"/>
                  <v:textbox>
                    <w:txbxContent>
                      <w:p w14:paraId="09B7C1D7">
                        <w:pPr>
                          <w:spacing w:before="120" w:after="120"/>
                          <w:jc w:val="center"/>
                        </w:pPr>
                        <w:r>
                          <w:rPr>
                            <w:rFonts w:hint="eastAsia"/>
                          </w:rPr>
                          <w:t>课程硕士项目</w:t>
                        </w:r>
                      </w:p>
                    </w:txbxContent>
                  </v:textbox>
                </v:rect>
                <v:group id="Group 12" o:spid="_x0000_s1026" o:spt="203" style="position:absolute;left:2427;top:11362;height:710;width:2868;" coordorigin="2119,3743" coordsize="2868,710" o:gfxdata="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">
                  <o:lock v:ext="edit" aspectratio="f"/>
                  <v:rect id="Rectangle 10" o:spid="_x0000_s1026" o:spt="1" style="position:absolute;left:4062;top:3744;height:709;width:925;v-text-anchor:middle;" filled="f" stroked="t" coordsize="21600,21600" o:gfxdata="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0&#10;WCUYwwAAAOMAAAAPAAAAAAAAAAEAIAAAACIAAABkcnMvZG93bnJldi54bWxQSwECFAAUAAAACACH&#10;TuJAMy8FnjsAAAA5AAAAEAAAAAAAAAABACAAAAASAQAAZHJzL3NoYXBleG1sLnhtbFBLBQYAAAAA&#10;BgAGAFsBAAC8AwAAAAA=&#10;">
                    <v:fill on="f" focussize="0,0"/>
                    <v:stroke weight="1pt" color="#000000 [3229]" miterlimit="8" joinstyle="miter"/>
                    <v:imagedata o:title=""/>
                    <o:lock v:ext="edit" aspectratio="f"/>
                    <v:textbox>
                      <w:txbxContent>
                        <w:p w14:paraId="6E53B6B9">
                          <w:pPr>
                            <w:spacing w:before="120" w:after="120"/>
                            <w:jc w:val="center"/>
                            <w:rPr>
                              <w:szCs w:val="21"/>
                            </w:rPr>
                          </w:pPr>
                          <w:r>
                            <w:rPr>
                              <w:rFonts w:hint="eastAsia"/>
                              <w:szCs w:val="21"/>
                            </w:rPr>
                            <w:t>大三</w:t>
                          </w:r>
                        </w:p>
                      </w:txbxContent>
                    </v:textbox>
                  </v:rect>
                  <v:group id="Group 25" o:spid="_x0000_s1026" o:spt="203" style="position:absolute;left:2119;top:3743;height:709;width:1942;" coordorigin="-391,-8" coordsize="12341,5412" o:gfxdata="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">
                    <o:lock v:ext="edit" aspectratio="f"/>
                    <v:rect id="Rectangle 11" o:spid="_x0000_s1026" o:spt="1" style="position:absolute;left:5827;top:-8;height:5412;width:6123;v-text-anchor:middle;" filled="f" stroked="t" coordsize="21600,21600" o:gfxdata="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9&#10;PWYewwAAAOIAAAAPAAAAAAAAAAEAIAAAACIAAABkcnMvZG93bnJldi54bWxQSwECFAAUAAAACACH&#10;TuJAMy8FnjsAAAA5AAAAEAAAAAAAAAABACAAAAASAQAAZHJzL3NoYXBleG1sLnhtbFBLBQYAAAAA&#10;BgAGAFsBAAC8AwAAAAA=&#10;">
                      <v:fill on="f" focussize="0,0"/>
                      <v:stroke weight="1pt" color="#000000 [3229]" miterlimit="8" joinstyle="miter"/>
                      <v:imagedata o:title=""/>
                      <o:lock v:ext="edit" aspectratio="f"/>
                      <v:textbox>
                        <w:txbxContent>
                          <w:p w14:paraId="38033085">
                            <w:pPr>
                              <w:spacing w:before="120" w:after="120"/>
                              <w:jc w:val="center"/>
                              <w:rPr>
                                <w:szCs w:val="21"/>
                              </w:rPr>
                            </w:pPr>
                            <w:r>
                              <w:rPr>
                                <w:rFonts w:hint="eastAsia"/>
                                <w:szCs w:val="21"/>
                              </w:rPr>
                              <w:t>大二</w:t>
                            </w:r>
                          </w:p>
                        </w:txbxContent>
                      </v:textbox>
                    </v:rect>
                    <v:rect id="Rectangle 12" o:spid="_x0000_s1026" o:spt="1" style="position:absolute;left:-391;top:-8;height:5409;width:6123;v-text-anchor:middle;" filled="f" stroked="t" coordsize="21600,21600" o:gfxdata="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Bg1&#10;wAAAAOMAAAAPAAAAAAAAAAEAIAAAACIAAABkcnMvZG93bnJldi54bWxQSwECFAAUAAAACACHTuJA&#10;My8FnjsAAAA5AAAAEAAAAAAAAAABACAAAAAPAQAAZHJzL3NoYXBleG1sLnhtbFBLBQYAAAAABgAG&#10;AFsBAAC5AwAAAAA=&#10;">
                      <v:fill on="f" focussize="0,0"/>
                      <v:stroke weight="1pt" color="#000000 [3229]" miterlimit="8" joinstyle="miter"/>
                      <v:imagedata o:title=""/>
                      <o:lock v:ext="edit" aspectratio="f"/>
                      <v:textbox>
                        <w:txbxContent>
                          <w:p w14:paraId="786B4A66">
                            <w:pPr>
                              <w:spacing w:before="120" w:after="120"/>
                              <w:jc w:val="center"/>
                              <w:rPr>
                                <w:szCs w:val="21"/>
                              </w:rPr>
                            </w:pPr>
                            <w:r>
                              <w:rPr>
                                <w:rFonts w:hint="eastAsia"/>
                                <w:szCs w:val="21"/>
                              </w:rPr>
                              <w:t>大一</w:t>
                            </w:r>
                          </w:p>
                        </w:txbxContent>
                      </v:textbox>
                    </v:rect>
                  </v:group>
                </v:group>
                <v:rect id="Rectangle 21" o:spid="_x0000_s1026" o:spt="1" style="position:absolute;left:5404;top:11363;height:709;width:1853;v-text-anchor:middle;" filled="f" stroked="t" coordsize="21600,21600" o:gfxdata="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dl9&#10;+MEAAADjAAAADwAAAAAAAAABACAAAAAiAAAAZHJzL2Rvd25yZXYueG1sUEsBAhQAFAAAAAgAh07i&#10;QDMvBZ47AAAAOQAAABAAAAAAAAAAAQAgAAAAEAEAAGRycy9zaGFwZXhtbC54bWxQSwUGAAAAAAYA&#10;BgBbAQAAugMAAAAA&#10;">
                  <v:fill on="f" focussize="0,0"/>
                  <v:stroke weight="1pt" color="#000000 [3229]" miterlimit="8" joinstyle="miter"/>
                  <v:imagedata o:title=""/>
                  <o:lock v:ext="edit" aspectratio="f"/>
                  <v:textbox>
                    <w:txbxContent>
                      <w:p w14:paraId="1E0420E2">
                        <w:pPr>
                          <w:jc w:val="center"/>
                          <w:rPr>
                            <w:szCs w:val="21"/>
                          </w:rPr>
                        </w:pPr>
                        <w:r>
                          <w:rPr>
                            <w:rFonts w:hint="eastAsia"/>
                            <w:szCs w:val="21"/>
                          </w:rPr>
                          <w:t>大四</w:t>
                        </w:r>
                      </w:p>
                      <w:p w14:paraId="1F6E3BD8">
                        <w:pPr>
                          <w:jc w:val="center"/>
                          <w:rPr>
                            <w:szCs w:val="20"/>
                          </w:rPr>
                        </w:pPr>
                        <w:r>
                          <w:rPr>
                            <w:rFonts w:hint="eastAsia"/>
                            <w:szCs w:val="20"/>
                          </w:rPr>
                          <w:t>课程&amp;毕业论文</w:t>
                        </w:r>
                      </w:p>
                    </w:txbxContent>
                  </v:textbox>
                </v:rect>
                <v:shape id="Right Brace 16" o:spid="_x0000_s1026" o:spt="88" type="#_x0000_t88" style="position:absolute;left:3817;top:9695;height:2789;width:226;rotation:5898240f;v-text-anchor:middle;" filled="f" stroked="t" coordsize="21600,21600" o:gfxdata="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zHA&#10;TcEAAADjAAAADwAAAAAAAAABACAAAAAiAAAAZHJzL2Rvd25yZXYueG1sUEsBAhQAFAAAAAgAh07i&#10;QDMvBZ47AAAAOQAAABAAAAAAAAAAAQAgAAAAEAEAAGRycy9zaGFwZXhtbC54bWxQSwUGAAAAAAYA&#10;BgBbAQAAugMAAAAA&#10;" adj="154,10586">
                  <v:fill on="f" focussize="0,0"/>
                  <v:stroke weight="1pt" color="#000000 [3229]" miterlimit="8" joinstyle="miter"/>
                  <v:imagedata o:title=""/>
                  <o:lock v:ext="edit" aspectratio="f"/>
                </v:shape>
                <v:shape id="TextBox 25" o:spid="_x0000_s1026" o:spt="202" type="#_x0000_t202" style="position:absolute;left:2442;top:9986;height:960;width:2853;" filled="f" stroked="t" coordsize="21600,21600" o:gfxdata="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sAc94cQAAADjAAAADwAAAAAAAAABACAAAAAiAAAAZHJzL2Rvd25yZXYueG1sUEsBAhQAFAAAAAgA&#10;h07iQDMvBZ47AAAAOQAAABAAAAAAAAAAAQAgAAAAEwEAAGRycy9zaGFwZXhtbC54bWxQSwUGAAAA&#10;AAYABgBbAQAAvQMAAAAA&#10;">
                  <v:fill on="f" focussize="0,0"/>
                  <v:stroke color="#000000 [3229]" miterlimit="8" joinstyle="miter"/>
                  <v:imagedata o:title=""/>
                  <o:lock v:ext="edit" aspectratio="f"/>
                  <v:textbox>
                    <w:txbxContent>
                      <w:p w14:paraId="430E6919">
                        <w:pPr>
                          <w:pStyle w:val="2"/>
                          <w:spacing w:before="120" w:beforeAutospacing="0" w:after="120" w:afterAutospacing="0"/>
                          <w:jc w:val="center"/>
                          <w:rPr>
                            <w:rFonts w:ascii="Calibri" w:hAnsi="Calibri"/>
                            <w:color w:val="000000"/>
                            <w:kern w:val="24"/>
                            <w:sz w:val="22"/>
                            <w:szCs w:val="21"/>
                          </w:rPr>
                        </w:pPr>
                        <w:r>
                          <w:rPr>
                            <w:rFonts w:hint="eastAsia" w:ascii="Calibri" w:hAnsi="Calibri"/>
                            <w:color w:val="000000"/>
                            <w:kern w:val="24"/>
                            <w:sz w:val="22"/>
                            <w:szCs w:val="21"/>
                          </w:rPr>
                          <w:t>攻读学士学位</w:t>
                        </w:r>
                      </w:p>
                      <w:p w14:paraId="1AE2BF46">
                        <w:pPr>
                          <w:pStyle w:val="2"/>
                          <w:spacing w:before="120" w:beforeAutospacing="0" w:after="120" w:afterAutospacing="0"/>
                          <w:jc w:val="center"/>
                          <w:rPr>
                            <w:rFonts w:ascii="Calibri" w:hAnsi="Calibri"/>
                            <w:color w:val="000000"/>
                            <w:kern w:val="24"/>
                            <w:sz w:val="22"/>
                            <w:szCs w:val="21"/>
                          </w:rPr>
                        </w:pPr>
                        <w:r>
                          <w:rPr>
                            <w:rFonts w:hint="eastAsia" w:ascii="Calibri" w:hAnsi="Calibri"/>
                            <w:color w:val="000000"/>
                            <w:kern w:val="24"/>
                            <w:sz w:val="22"/>
                            <w:szCs w:val="21"/>
                          </w:rPr>
                          <w:t>@</w:t>
                        </w:r>
                        <w:r>
                          <w:rPr>
                            <w:rFonts w:hint="eastAsia" w:asciiTheme="majorEastAsia" w:hAnsiTheme="majorEastAsia" w:eastAsiaTheme="majorEastAsia"/>
                            <w:color w:val="000000" w:themeColor="text1"/>
                            <w14:textFill>
                              <w14:solidFill>
                                <w14:schemeClr w14:val="tx1"/>
                              </w14:solidFill>
                            </w14:textFill>
                          </w:rPr>
                          <w:t>华东师大生环学院</w:t>
                        </w:r>
                      </w:p>
                    </w:txbxContent>
                  </v:textbox>
                </v:shape>
                <v:shape id="Right Brace 19" o:spid="_x0000_s1026" o:spt="88" type="#_x0000_t88" style="position:absolute;left:6244;top:11383;height:1643;width:172;rotation:5898240f;v-text-anchor:middle;" filled="f" stroked="t" coordsize="21600,21600" o:gfxdata="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4f&#10;RXTCAAAA4wAAAA8AAAAAAAAAAQAgAAAAIgAAAGRycy9kb3ducmV2LnhtbFBLAQIUABQAAAAIAIdO&#10;4kAzLwWeOwAAADkAAAAQAAAAAAAAAAEAIAAAABEBAABkcnMvc2hhcGV4bWwueG1sUEsFBgAAAAAG&#10;AAYAWwEAALsDAAAAAA==&#10;" adj="200,10586">
                  <v:fill on="f" focussize="0,0"/>
                  <v:stroke weight="1pt" color="#000000 [3229]" miterlimit="8" joinstyle="miter"/>
                  <v:imagedata o:title=""/>
                  <o:lock v:ext="edit" aspectratio="f"/>
                </v:shape>
                <v:shape id="Text Box 31" o:spid="_x0000_s1026" o:spt="202" type="#_x0000_t202" style="position:absolute;left:5157;top:12482;height:954;width:1998;" filled="f" stroked="t" coordsize="21600,21600" o:gfxdata="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NAxd8QAAADiAAAADwAAAAAAAAABACAAAAAiAAAAZHJzL2Rvd25yZXYueG1sUEsBAhQAFAAAAAgA&#10;h07iQDMvBZ47AAAAOQAAABAAAAAAAAAAAQAgAAAAEwEAAGRycy9zaGFwZXhtbC54bWxQSwUGAAAA&#10;AAYABgBbAQAAvQMAAAAA&#10;">
                  <v:fill on="f" focussize="0,0"/>
                  <v:stroke weight="0.5pt" color="#000000" miterlimit="8" joinstyle="miter"/>
                  <v:imagedata o:title=""/>
                  <o:lock v:ext="edit" aspectratio="f"/>
                  <v:textbox>
                    <w:txbxContent>
                      <w:p w14:paraId="681A5933">
                        <w:pPr>
                          <w:spacing w:before="120" w:after="120"/>
                          <w:jc w:val="center"/>
                          <w:rPr>
                            <w:szCs w:val="21"/>
                          </w:rPr>
                        </w:pPr>
                        <w:r>
                          <w:rPr>
                            <w:rFonts w:hint="eastAsia"/>
                            <w:szCs w:val="21"/>
                          </w:rPr>
                          <w:t>衔接课程</w:t>
                        </w:r>
                      </w:p>
                      <w:p w14:paraId="55DCF4DC">
                        <w:pPr>
                          <w:spacing w:before="120" w:after="120"/>
                          <w:jc w:val="center"/>
                          <w:rPr>
                            <w:szCs w:val="21"/>
                          </w:rPr>
                        </w:pPr>
                        <w:r>
                          <w:rPr>
                            <w:szCs w:val="21"/>
                          </w:rPr>
                          <w:t>@ 新国大苏研院</w:t>
                        </w:r>
                      </w:p>
                    </w:txbxContent>
                  </v:textbox>
                </v:shape>
                <v:shape id="Right Brace 20" o:spid="_x0000_s1026" o:spt="88" type="#_x0000_t88" style="position:absolute;left:8480;top:11094;height:2276;width:236;rotation:5898240f;v-text-anchor:middle;" filled="f" stroked="t" coordsize="21600,21600" o:gfxdata="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vUD&#10;lMEAAADjAAAADwAAAAAAAAABACAAAAAiAAAAZHJzL2Rvd25yZXYueG1sUEsBAhQAFAAAAAgAh07i&#10;QDMvBZ47AAAAOQAAABAAAAAAAAAAAQAgAAAAEAEAAGRycy9zaGFwZXhtbC54bWxQSwUGAAAAAAYA&#10;BgBbAQAAugMAAAAA&#10;" adj="197,10586">
                  <v:fill on="f" focussize="0,0"/>
                  <v:stroke weight="1pt" color="#000000 [3229]" miterlimit="8" joinstyle="miter"/>
                  <v:imagedata o:title=""/>
                  <o:lock v:ext="edit" aspectratio="f"/>
                </v:shape>
                <v:shape id="Text Box 9" o:spid="_x0000_s1026" o:spt="202" type="#_x0000_t202" style="position:absolute;left:7257;top:12482;height:954;width:3210;" filled="f" stroked="t" coordsize="21600,21600" o:gfxdata="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5P&#10;XP3CAAAA4wAAAA8AAAAAAAAAAQAgAAAAIgAAAGRycy9kb3ducmV2LnhtbFBLAQIUABQAAAAIAIdO&#10;4kAzLwWeOwAAADkAAAAQAAAAAAAAAAEAIAAAABEBAABkcnMvc2hhcGV4bWwueG1sUEsFBgAAAAAG&#10;AAYAWwEAALsDAAAAAA==&#10;">
                  <v:fill on="f" focussize="0,0"/>
                  <v:stroke weight="0.5pt" color="#000000" miterlimit="8" joinstyle="miter"/>
                  <v:imagedata o:title=""/>
                  <o:lock v:ext="edit" aspectratio="f"/>
                  <v:textbox>
                    <w:txbxContent>
                      <w:p w14:paraId="5E57CCCE">
                        <w:pPr>
                          <w:spacing w:before="120" w:after="120"/>
                          <w:jc w:val="center"/>
                          <w:rPr>
                            <w:szCs w:val="20"/>
                          </w:rPr>
                        </w:pPr>
                        <w:r>
                          <w:rPr>
                            <w:rFonts w:hint="eastAsia"/>
                            <w:szCs w:val="20"/>
                          </w:rPr>
                          <w:t>一年制课程硕士</w:t>
                        </w:r>
                      </w:p>
                      <w:p w14:paraId="6958D712">
                        <w:pPr>
                          <w:spacing w:before="120" w:after="120"/>
                          <w:jc w:val="center"/>
                          <w:rPr>
                            <w:szCs w:val="20"/>
                          </w:rPr>
                        </w:pPr>
                        <w:r>
                          <w:rPr>
                            <w:rFonts w:hint="eastAsia"/>
                            <w:szCs w:val="20"/>
                          </w:rPr>
                          <w:t>@新国大土木与环境工程系</w:t>
                        </w:r>
                      </w:p>
                      <w:p w14:paraId="103FBE62">
                        <w:pPr>
                          <w:spacing w:before="120" w:after="120"/>
                          <w:jc w:val="center"/>
                          <w:rPr>
                            <w:lang w:val="en-US"/>
                          </w:rPr>
                        </w:pPr>
                        <w:r>
                          <w:rPr>
                            <w:sz w:val="21"/>
                            <w:szCs w:val="20"/>
                          </w:rPr>
                          <w:t xml:space="preserve"> @ </w:t>
                        </w:r>
                        <w:r>
                          <w:rPr>
                            <w:rFonts w:hint="eastAsia"/>
                            <w:sz w:val="21"/>
                            <w:szCs w:val="20"/>
                          </w:rPr>
                          <w:t>新国大</w:t>
                        </w:r>
                        <w:r>
                          <w:rPr>
                            <w:rFonts w:hint="eastAsia"/>
                            <w:sz w:val="21"/>
                            <w:szCs w:val="21"/>
                          </w:rPr>
                          <w:t>土木与环境工程系</w:t>
                        </w:r>
                      </w:p>
                    </w:txbxContent>
                  </v:textbox>
                </v:shape>
              </v:group>
            </w:pict>
          </mc:Fallback>
        </mc:AlternateContent>
      </w:r>
      <w:r>
        <w:rPr>
          <w:rFonts w:asciiTheme="majorEastAsia" w:hAnsiTheme="majorEastAsia" w:eastAsiaTheme="majorEastAsia"/>
          <w:color w:val="000000" w:themeColor="text1"/>
          <w:lang w:val="en-US"/>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3352800</wp:posOffset>
                </wp:positionH>
                <wp:positionV relativeFrom="paragraph">
                  <wp:posOffset>16510</wp:posOffset>
                </wp:positionV>
                <wp:extent cx="2095500" cy="609600"/>
                <wp:effectExtent l="4445" t="4445" r="14605" b="14605"/>
                <wp:wrapNone/>
                <wp:docPr id="1142538208" name="TextBox 25"/>
                <wp:cNvGraphicFramePr/>
                <a:graphic xmlns:a="http://schemas.openxmlformats.org/drawingml/2006/main">
                  <a:graphicData uri="http://schemas.microsoft.com/office/word/2010/wordprocessingShape">
                    <wps:wsp>
                      <wps:cNvSpPr txBox="1">
                        <a:spLocks noChangeArrowheads="1"/>
                      </wps:cNvSpPr>
                      <wps:spPr bwMode="auto">
                        <a:xfrm>
                          <a:off x="0" y="0"/>
                          <a:ext cx="2095500" cy="609600"/>
                        </a:xfrm>
                        <a:prstGeom prst="rect">
                          <a:avLst/>
                        </a:prstGeom>
                        <a:noFill/>
                        <a:ln w="9525">
                          <a:solidFill>
                            <a:schemeClr val="tx1">
                              <a:lumMod val="100000"/>
                              <a:lumOff val="0"/>
                            </a:schemeClr>
                          </a:solidFill>
                          <a:miter lim="800000"/>
                        </a:ln>
                      </wps:spPr>
                      <wps:txbx>
                        <w:txbxContent>
                          <w:p w14:paraId="1B319178">
                            <w:pPr>
                              <w:spacing w:before="120" w:after="120"/>
                              <w:jc w:val="center"/>
                              <w:rPr>
                                <w:color w:val="000000"/>
                                <w:kern w:val="24"/>
                                <w:szCs w:val="21"/>
                              </w:rPr>
                            </w:pPr>
                            <w:r>
                              <w:rPr>
                                <w:rFonts w:hint="eastAsia"/>
                                <w:color w:val="000000"/>
                                <w:kern w:val="24"/>
                                <w:szCs w:val="21"/>
                              </w:rPr>
                              <w:t>攻读硕士学位</w:t>
                            </w:r>
                          </w:p>
                          <w:p w14:paraId="57A676BE">
                            <w:pPr>
                              <w:spacing w:before="120" w:after="120"/>
                              <w:jc w:val="center"/>
                              <w:rPr>
                                <w:szCs w:val="20"/>
                              </w:rPr>
                            </w:pPr>
                            <w:r>
                              <w:rPr>
                                <w:rFonts w:hint="eastAsia"/>
                                <w:szCs w:val="20"/>
                              </w:rPr>
                              <w:t>@新国大土木与环境工程系</w:t>
                            </w:r>
                          </w:p>
                          <w:p w14:paraId="2826422C">
                            <w:pPr>
                              <w:spacing w:before="120" w:after="120"/>
                              <w:rPr>
                                <w:color w:val="000000"/>
                                <w:kern w:val="24"/>
                                <w:sz w:val="21"/>
                                <w:szCs w:val="21"/>
                              </w:rPr>
                            </w:pPr>
                          </w:p>
                        </w:txbxContent>
                      </wps:txbx>
                      <wps:bodyPr rot="0" vert="horz" wrap="square" lIns="91440" tIns="45720" rIns="91440" bIns="45720" anchor="t" anchorCtr="0" upright="1">
                        <a:noAutofit/>
                      </wps:bodyPr>
                    </wps:wsp>
                  </a:graphicData>
                </a:graphic>
              </wp:anchor>
            </w:drawing>
          </mc:Choice>
          <mc:Fallback>
            <w:pict>
              <v:shape id="TextBox 25" o:spid="_x0000_s1026" o:spt="202" type="#_x0000_t202" style="position:absolute;left:0pt;margin-left:264pt;margin-top:1.3pt;height:48pt;width:165pt;z-index:251661312;mso-width-relative:page;mso-height-relative:page;" filled="f" stroked="t" coordsize="21600,21600" o:gfxdata="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zhjrn1QAAAAgBAAAPAAAAAAAAAAEAIAAA&#10;ACIAAABkcnMvZG93bnJldi54bWxQSwECFAAUAAAACACHTuJADACiVkgCAACcBAAADgAAAAAAAAAB&#10;ACAAAAAkAQAAZHJzL2Uyb0RvYy54bWxQSwUGAAAAAAYABgBZAQAA3gUAAAAA&#10;">
                <v:fill on="f" focussize="0,0"/>
                <v:stroke color="#000000 [3229]" miterlimit="8" joinstyle="miter"/>
                <v:imagedata o:title=""/>
                <o:lock v:ext="edit" aspectratio="f"/>
                <v:textbox>
                  <w:txbxContent>
                    <w:p w14:paraId="1B319178">
                      <w:pPr>
                        <w:spacing w:before="120" w:after="120"/>
                        <w:jc w:val="center"/>
                        <w:rPr>
                          <w:color w:val="000000"/>
                          <w:kern w:val="24"/>
                          <w:szCs w:val="21"/>
                        </w:rPr>
                      </w:pPr>
                      <w:r>
                        <w:rPr>
                          <w:rFonts w:hint="eastAsia"/>
                          <w:color w:val="000000"/>
                          <w:kern w:val="24"/>
                          <w:szCs w:val="21"/>
                        </w:rPr>
                        <w:t>攻读硕士学位</w:t>
                      </w:r>
                    </w:p>
                    <w:p w14:paraId="57A676BE">
                      <w:pPr>
                        <w:spacing w:before="120" w:after="120"/>
                        <w:jc w:val="center"/>
                        <w:rPr>
                          <w:szCs w:val="20"/>
                        </w:rPr>
                      </w:pPr>
                      <w:r>
                        <w:rPr>
                          <w:rFonts w:hint="eastAsia"/>
                          <w:szCs w:val="20"/>
                        </w:rPr>
                        <w:t>@新国大土木与环境工程系</w:t>
                      </w:r>
                    </w:p>
                    <w:p w14:paraId="2826422C">
                      <w:pPr>
                        <w:spacing w:before="120" w:after="120"/>
                        <w:rPr>
                          <w:color w:val="000000"/>
                          <w:kern w:val="24"/>
                          <w:sz w:val="21"/>
                          <w:szCs w:val="21"/>
                        </w:rPr>
                      </w:pPr>
                    </w:p>
                  </w:txbxContent>
                </v:textbox>
              </v:shape>
            </w:pict>
          </mc:Fallback>
        </mc:AlternateContent>
      </w:r>
      <w:r>
        <w:rPr>
          <w:rFonts w:asciiTheme="majorEastAsia" w:hAnsiTheme="majorEastAsia" w:eastAsiaTheme="majorEastAsia"/>
          <w:color w:val="000000" w:themeColor="text1"/>
          <w:lang w:val="en-US"/>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4323080</wp:posOffset>
                </wp:positionH>
                <wp:positionV relativeFrom="paragraph">
                  <wp:posOffset>10160</wp:posOffset>
                </wp:positionV>
                <wp:extent cx="130810" cy="1423670"/>
                <wp:effectExtent l="6350" t="0" r="17780" b="59690"/>
                <wp:wrapNone/>
                <wp:docPr id="581602757" name="Right Brace 16"/>
                <wp:cNvGraphicFramePr/>
                <a:graphic xmlns:a="http://schemas.openxmlformats.org/drawingml/2006/main">
                  <a:graphicData uri="http://schemas.microsoft.com/office/word/2010/wordprocessingShape">
                    <wps:wsp>
                      <wps:cNvSpPr/>
                      <wps:spPr bwMode="auto">
                        <a:xfrm rot="5400000">
                          <a:off x="0" y="0"/>
                          <a:ext cx="130493" cy="1423670"/>
                        </a:xfrm>
                        <a:prstGeom prst="rightBrace">
                          <a:avLst>
                            <a:gd name="adj1" fmla="val 8803"/>
                            <a:gd name="adj2" fmla="val 49009"/>
                          </a:avLst>
                        </a:prstGeom>
                        <a:noFill/>
                        <a:ln w="12700">
                          <a:solidFill>
                            <a:schemeClr val="tx1">
                              <a:lumMod val="100000"/>
                              <a:lumOff val="0"/>
                            </a:schemeClr>
                          </a:solidFill>
                          <a:miter lim="800000"/>
                        </a:ln>
                      </wps:spPr>
                      <wps:txbx>
                        <w:txbxContent>
                          <w:p w14:paraId="5550A023">
                            <w:pPr>
                              <w:jc w:val="center"/>
                            </w:pPr>
                          </w:p>
                        </w:txbxContent>
                      </wps:txbx>
                      <wps:bodyPr rot="0" vert="horz" wrap="square" lIns="91440" tIns="45720" rIns="91440" bIns="45720" anchor="ctr" anchorCtr="0" upright="1">
                        <a:noAutofit/>
                      </wps:bodyPr>
                    </wps:wsp>
                  </a:graphicData>
                </a:graphic>
              </wp:anchor>
            </w:drawing>
          </mc:Choice>
          <mc:Fallback>
            <w:pict>
              <v:shape id="Right Brace 16" o:spid="_x0000_s1026" o:spt="88" type="#_x0000_t88" style="position:absolute;left:0pt;margin-left:340.4pt;margin-top:0.8pt;height:112.1pt;width:10.3pt;rotation:5898240f;z-index:251660288;v-text-anchor:middle;mso-width-relative:page;mso-height-relative:page;" filled="f" stroked="t" coordsize="21600,21600" o:gfxdata="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8LfO&#10;HtkAAAAJAQAADwAAAAAAAAABACAAAAAiAAAAZHJzL2Rvd25yZXYueG1sUEsBAhQAFAAAAAgAh07i&#10;QL2d3mVaAgAAzAQAAA4AAAAAAAAAAQAgAAAAKAEAAGRycy9lMm9Eb2MueG1sUEsFBgAAAAAGAAYA&#10;WQEAAPQFAAAAAA==&#10;" adj="174,10586">
                <v:fill on="f" focussize="0,0"/>
                <v:stroke weight="1pt" color="#000000 [3229]" miterlimit="8" joinstyle="miter"/>
                <v:imagedata o:title=""/>
                <o:lock v:ext="edit" aspectratio="f"/>
                <v:textbox>
                  <w:txbxContent>
                    <w:p w14:paraId="5550A023">
                      <w:pPr>
                        <w:jc w:val="center"/>
                      </w:pPr>
                    </w:p>
                  </w:txbxContent>
                </v:textbox>
              </v:shape>
            </w:pict>
          </mc:Fallback>
        </mc:AlternateContent>
      </w:r>
    </w:p>
    <w:p w14:paraId="718A9677">
      <w:pPr>
        <w:spacing w:before="50" w:after="120"/>
        <w:rPr>
          <w:rFonts w:asciiTheme="majorEastAsia" w:hAnsiTheme="majorEastAsia" w:eastAsiaTheme="majorEastAsia"/>
          <w:color w:val="000000" w:themeColor="text1"/>
          <w14:textFill>
            <w14:solidFill>
              <w14:schemeClr w14:val="tx1"/>
            </w14:solidFill>
          </w14:textFill>
        </w:rPr>
      </w:pPr>
    </w:p>
    <w:p w14:paraId="6CBB5095">
      <w:pPr>
        <w:spacing w:before="50" w:after="120"/>
        <w:rPr>
          <w:rFonts w:asciiTheme="majorEastAsia" w:hAnsiTheme="majorEastAsia" w:eastAsiaTheme="majorEastAsia"/>
          <w:color w:val="000000" w:themeColor="text1"/>
          <w14:textFill>
            <w14:solidFill>
              <w14:schemeClr w14:val="tx1"/>
            </w14:solidFill>
          </w14:textFill>
        </w:rPr>
      </w:pPr>
    </w:p>
    <w:p w14:paraId="690F5FFC">
      <w:pPr>
        <w:spacing w:before="50" w:after="120"/>
        <w:rPr>
          <w:rFonts w:asciiTheme="majorEastAsia" w:hAnsiTheme="majorEastAsia" w:eastAsiaTheme="majorEastAsia"/>
          <w:color w:val="000000" w:themeColor="text1"/>
          <w14:textFill>
            <w14:solidFill>
              <w14:schemeClr w14:val="tx1"/>
            </w14:solidFill>
          </w14:textFill>
        </w:rPr>
      </w:pPr>
    </w:p>
    <w:p w14:paraId="0DE22A21">
      <w:pPr>
        <w:spacing w:before="50" w:after="120"/>
        <w:rPr>
          <w:rFonts w:asciiTheme="majorEastAsia" w:hAnsiTheme="majorEastAsia" w:eastAsiaTheme="majorEastAsia"/>
          <w:color w:val="000000" w:themeColor="text1"/>
          <w14:textFill>
            <w14:solidFill>
              <w14:schemeClr w14:val="tx1"/>
            </w14:solidFill>
          </w14:textFill>
        </w:rPr>
      </w:pPr>
    </w:p>
    <w:p w14:paraId="3876F6D3">
      <w:pPr>
        <w:spacing w:before="50" w:after="120"/>
        <w:rPr>
          <w:rFonts w:asciiTheme="majorEastAsia" w:hAnsiTheme="majorEastAsia" w:eastAsiaTheme="majorEastAsia"/>
          <w:color w:val="000000" w:themeColor="text1"/>
          <w14:textFill>
            <w14:solidFill>
              <w14:schemeClr w14:val="tx1"/>
            </w14:solidFill>
          </w14:textFill>
        </w:rPr>
      </w:pPr>
    </w:p>
    <w:p w14:paraId="46E7D764">
      <w:pPr>
        <w:spacing w:before="50" w:after="120"/>
        <w:rPr>
          <w:rFonts w:asciiTheme="majorEastAsia" w:hAnsiTheme="majorEastAsia" w:eastAsiaTheme="majorEastAsia"/>
          <w:color w:val="000000" w:themeColor="text1"/>
          <w14:textFill>
            <w14:solidFill>
              <w14:schemeClr w14:val="tx1"/>
            </w14:solidFill>
          </w14:textFill>
        </w:rPr>
      </w:pPr>
    </w:p>
    <w:p w14:paraId="473EEFE5">
      <w:pPr>
        <w:spacing w:before="50" w:after="120"/>
        <w:rPr>
          <w:rFonts w:asciiTheme="majorEastAsia" w:hAnsiTheme="majorEastAsia" w:eastAsiaTheme="majorEastAsia"/>
          <w:color w:val="000000" w:themeColor="text1"/>
          <w14:textFill>
            <w14:solidFill>
              <w14:schemeClr w14:val="tx1"/>
            </w14:solidFill>
          </w14:textFill>
        </w:rPr>
      </w:pPr>
    </w:p>
    <w:p w14:paraId="5485F27E">
      <w:pPr>
        <w:spacing w:before="50" w:after="120"/>
        <w:rPr>
          <w:rFonts w:asciiTheme="majorEastAsia" w:hAnsiTheme="majorEastAsia" w:eastAsiaTheme="majorEastAsia"/>
          <w:color w:val="000000" w:themeColor="text1"/>
          <w14:textFill>
            <w14:solidFill>
              <w14:schemeClr w14:val="tx1"/>
            </w14:solidFill>
          </w14:textFill>
        </w:rPr>
      </w:pPr>
    </w:p>
    <w:p w14:paraId="31B49E7F">
      <w:pPr>
        <w:spacing w:before="120" w:beforeLines="50" w:after="120" w:afterLines="50"/>
        <w:rPr>
          <w:rFonts w:asciiTheme="majorEastAsia" w:hAnsiTheme="majorEastAsia" w:eastAsiaTheme="majorEastAsia"/>
          <w:b/>
          <w:color w:val="000000" w:themeColor="text1"/>
          <w14:textFill>
            <w14:solidFill>
              <w14:schemeClr w14:val="tx1"/>
            </w14:solidFill>
          </w14:textFill>
        </w:rPr>
      </w:pPr>
    </w:p>
    <w:p w14:paraId="793135FD">
      <w:pPr>
        <w:pStyle w:val="6"/>
        <w:widowControl w:val="0"/>
        <w:numPr>
          <w:ilvl w:val="0"/>
          <w:numId w:val="1"/>
        </w:numPr>
        <w:spacing w:before="120" w:beforeLines="50" w:after="120" w:afterLines="50" w:line="360" w:lineRule="auto"/>
        <w:contextualSpacing/>
        <w:jc w:val="both"/>
        <w:rPr>
          <w:rFonts w:asciiTheme="majorEastAsia" w:hAnsiTheme="majorEastAsia" w:eastAsiaTheme="majorEastAsia"/>
          <w:b/>
          <w:color w:val="000000" w:themeColor="text1"/>
          <w:sz w:val="24"/>
          <w:szCs w:val="24"/>
          <w14:textFill>
            <w14:solidFill>
              <w14:schemeClr w14:val="tx1"/>
            </w14:solidFill>
          </w14:textFill>
        </w:rPr>
      </w:pPr>
      <w:r>
        <w:rPr>
          <w:rFonts w:hint="eastAsia" w:asciiTheme="majorEastAsia" w:hAnsiTheme="majorEastAsia" w:eastAsiaTheme="majorEastAsia"/>
          <w:b/>
          <w:color w:val="000000" w:themeColor="text1"/>
          <w:sz w:val="24"/>
          <w:szCs w:val="24"/>
          <w14:textFill>
            <w14:solidFill>
              <w14:schemeClr w14:val="tx1"/>
            </w14:solidFill>
          </w14:textFill>
        </w:rPr>
        <w:t>经营与管理</w:t>
      </w:r>
    </w:p>
    <w:p w14:paraId="6FF13287">
      <w:pPr>
        <w:pStyle w:val="6"/>
        <w:numPr>
          <w:ilvl w:val="1"/>
          <w:numId w:val="2"/>
        </w:numPr>
        <w:spacing w:before="120" w:beforeLines="50" w:after="120" w:afterLines="50"/>
        <w:ind w:left="448" w:hanging="448"/>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此“3+1+1”联合培养项目将由新国大土木与环境工程系、新国大苏研院以及生环学院共同管理。生环学院负责向</w:t>
      </w:r>
      <w:r>
        <w:rPr>
          <w:rFonts w:asciiTheme="majorEastAsia" w:hAnsiTheme="majorEastAsia" w:eastAsiaTheme="majorEastAsia"/>
          <w:color w:val="000000" w:themeColor="text1"/>
          <w:sz w:val="24"/>
          <w:szCs w:val="24"/>
          <w14:textFill>
            <w14:solidFill>
              <w14:schemeClr w14:val="tx1"/>
            </w14:solidFill>
          </w14:textFill>
        </w:rPr>
        <w:t>该校</w:t>
      </w:r>
      <w:r>
        <w:rPr>
          <w:rFonts w:hint="eastAsia" w:asciiTheme="majorEastAsia" w:hAnsiTheme="majorEastAsia" w:eastAsiaTheme="majorEastAsia"/>
          <w:color w:val="000000" w:themeColor="text1"/>
          <w:sz w:val="24"/>
          <w:szCs w:val="24"/>
          <w14:textFill>
            <w14:solidFill>
              <w14:schemeClr w14:val="tx1"/>
            </w14:solidFill>
          </w14:textFill>
        </w:rPr>
        <w:t>学生宣传“3+1+1”联合培养项目，并协助新国大苏研院和新国大土木与环境工程系联合选拔工作组对申请人进行的面试和选拔工作。</w:t>
      </w:r>
    </w:p>
    <w:p w14:paraId="132C5C8F">
      <w:pPr>
        <w:pStyle w:val="6"/>
        <w:numPr>
          <w:ilvl w:val="1"/>
          <w:numId w:val="2"/>
        </w:numPr>
        <w:spacing w:before="120" w:beforeLines="50" w:after="120" w:afterLines="50"/>
        <w:ind w:left="448" w:hanging="448"/>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在符合华东师大本科毕业、学士学位授予要求的前提下，学生将获得华东师大颁发的本科毕业证书和学士学位证书。随后学生可申请注册成为新国大土木与环境工程系的全自费无补贴</w:t>
      </w:r>
      <w:r>
        <w:rPr>
          <w:rFonts w:hint="eastAsia" w:asciiTheme="majorEastAsia" w:hAnsiTheme="majorEastAsia" w:eastAsiaTheme="majorEastAsia"/>
          <w:color w:val="000000" w:themeColor="text1"/>
          <w:sz w:val="24"/>
          <w:szCs w:val="24"/>
          <w:lang w:val="en-US"/>
          <w14:textFill>
            <w14:solidFill>
              <w14:schemeClr w14:val="tx1"/>
            </w14:solidFill>
          </w14:textFill>
        </w:rPr>
        <w:t>环境工程</w:t>
      </w:r>
      <w:r>
        <w:rPr>
          <w:rFonts w:hint="eastAsia" w:asciiTheme="majorEastAsia" w:hAnsiTheme="majorEastAsia" w:eastAsiaTheme="majorEastAsia"/>
          <w:color w:val="000000" w:themeColor="text1"/>
          <w:sz w:val="24"/>
          <w:szCs w:val="24"/>
          <w14:textFill>
            <w14:solidFill>
              <w14:schemeClr w14:val="tx1"/>
            </w14:solidFill>
          </w14:textFill>
        </w:rPr>
        <w:t>硕士生。硕士录取标准与其他课程硕士项目一致。</w:t>
      </w:r>
    </w:p>
    <w:p w14:paraId="27E782A3">
      <w:pPr>
        <w:pStyle w:val="6"/>
        <w:numPr>
          <w:ilvl w:val="1"/>
          <w:numId w:val="2"/>
        </w:numPr>
        <w:spacing w:before="120" w:beforeLines="50" w:after="120" w:afterLines="50"/>
        <w:ind w:left="448" w:hanging="448"/>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新国大土木与环境工程系承担如下</w:t>
      </w:r>
      <w:r>
        <w:rPr>
          <w:rFonts w:asciiTheme="majorEastAsia" w:hAnsiTheme="majorEastAsia" w:eastAsiaTheme="majorEastAsia"/>
          <w:color w:val="000000" w:themeColor="text1"/>
          <w:sz w:val="24"/>
          <w:szCs w:val="24"/>
          <w14:textFill>
            <w14:solidFill>
              <w14:schemeClr w14:val="tx1"/>
            </w14:solidFill>
          </w14:textFill>
        </w:rPr>
        <w:t>义务</w:t>
      </w:r>
      <w:r>
        <w:rPr>
          <w:rFonts w:hint="eastAsia" w:asciiTheme="majorEastAsia" w:hAnsiTheme="majorEastAsia" w:eastAsiaTheme="majorEastAsia"/>
          <w:color w:val="000000" w:themeColor="text1"/>
          <w:sz w:val="24"/>
          <w:szCs w:val="24"/>
          <w14:textFill>
            <w14:solidFill>
              <w14:schemeClr w14:val="tx1"/>
            </w14:solidFill>
          </w14:textFill>
        </w:rPr>
        <w:t>：</w:t>
      </w:r>
    </w:p>
    <w:p w14:paraId="778B72E4">
      <w:pPr>
        <w:pStyle w:val="6"/>
        <w:numPr>
          <w:ilvl w:val="0"/>
          <w:numId w:val="3"/>
        </w:numPr>
        <w:spacing w:before="120" w:beforeLines="50" w:after="120" w:afterLines="50"/>
        <w:ind w:left="845"/>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将第五年的课程硕士项目作为该联合培养项目的</w:t>
      </w:r>
      <w:r>
        <w:rPr>
          <w:rFonts w:asciiTheme="majorEastAsia" w:hAnsiTheme="majorEastAsia" w:eastAsiaTheme="majorEastAsia"/>
          <w:color w:val="000000" w:themeColor="text1"/>
          <w:sz w:val="24"/>
          <w:szCs w:val="24"/>
          <w14:textFill>
            <w14:solidFill>
              <w14:schemeClr w14:val="tx1"/>
            </w14:solidFill>
          </w14:textFill>
        </w:rPr>
        <w:t>一部分运行</w:t>
      </w:r>
      <w:r>
        <w:rPr>
          <w:rFonts w:hint="eastAsia" w:asciiTheme="majorEastAsia" w:hAnsiTheme="majorEastAsia" w:eastAsiaTheme="majorEastAsia"/>
          <w:color w:val="000000" w:themeColor="text1"/>
          <w:sz w:val="24"/>
          <w:szCs w:val="24"/>
          <w14:textFill>
            <w14:solidFill>
              <w14:schemeClr w14:val="tx1"/>
            </w14:solidFill>
          </w14:textFill>
        </w:rPr>
        <w:t>；</w:t>
      </w:r>
    </w:p>
    <w:p w14:paraId="3BC38033">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负责 “3+1+1”项目衔接课程学生的选拔工作，并将入选学生名单提供给新国大苏研院，用于衔接课程的注册；</w:t>
      </w:r>
    </w:p>
    <w:p w14:paraId="561A099B">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asciiTheme="majorEastAsia" w:hAnsiTheme="majorEastAsia" w:eastAsiaTheme="majorEastAsia"/>
          <w:color w:val="000000" w:themeColor="text1"/>
          <w:sz w:val="24"/>
          <w:szCs w:val="24"/>
          <w14:textFill>
            <w14:solidFill>
              <w14:schemeClr w14:val="tx1"/>
            </w14:solidFill>
          </w14:textFill>
        </w:rPr>
        <w:t>设置</w:t>
      </w:r>
      <w:r>
        <w:rPr>
          <w:rFonts w:hint="eastAsia" w:asciiTheme="majorEastAsia" w:hAnsiTheme="majorEastAsia" w:eastAsiaTheme="majorEastAsia"/>
          <w:color w:val="000000" w:themeColor="text1"/>
          <w:sz w:val="24"/>
          <w:szCs w:val="24"/>
          <w14:textFill>
            <w14:solidFill>
              <w14:schemeClr w14:val="tx1"/>
            </w14:solidFill>
          </w14:textFill>
        </w:rPr>
        <w:t>相关</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工程专业</w:t>
      </w:r>
      <w:r>
        <w:rPr>
          <w:rFonts w:hint="eastAsia" w:asciiTheme="majorEastAsia" w:hAnsiTheme="majorEastAsia" w:eastAsiaTheme="majorEastAsia"/>
          <w:color w:val="000000" w:themeColor="text1"/>
          <w:sz w:val="24"/>
          <w:szCs w:val="24"/>
          <w14:textFill>
            <w14:solidFill>
              <w14:schemeClr w14:val="tx1"/>
            </w14:solidFill>
          </w14:textFill>
        </w:rPr>
        <w:t>课程，安排教学人员负责</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w:t>
      </w:r>
      <w:r>
        <w:rPr>
          <w:rFonts w:hint="eastAsia" w:asciiTheme="majorEastAsia" w:hAnsiTheme="majorEastAsia" w:eastAsiaTheme="majorEastAsia"/>
          <w:color w:val="000000" w:themeColor="text1"/>
          <w:sz w:val="24"/>
          <w:szCs w:val="24"/>
          <w14:textFill>
            <w14:solidFill>
              <w14:schemeClr w14:val="tx1"/>
            </w14:solidFill>
          </w14:textFill>
        </w:rPr>
        <w:t>相关的衔接课程以及参与项目学生的毕业</w:t>
      </w:r>
      <w:r>
        <w:rPr>
          <w:rFonts w:asciiTheme="majorEastAsia" w:hAnsiTheme="majorEastAsia" w:eastAsiaTheme="majorEastAsia"/>
          <w:color w:val="000000" w:themeColor="text1"/>
          <w:sz w:val="24"/>
          <w:szCs w:val="24"/>
          <w14:textFill>
            <w14:solidFill>
              <w14:schemeClr w14:val="tx1"/>
            </w14:solidFill>
          </w14:textFill>
        </w:rPr>
        <w:t>论文</w:t>
      </w:r>
      <w:r>
        <w:rPr>
          <w:rFonts w:hint="eastAsia" w:asciiTheme="majorEastAsia" w:hAnsiTheme="majorEastAsia" w:eastAsiaTheme="majorEastAsia"/>
          <w:color w:val="000000" w:themeColor="text1"/>
          <w:sz w:val="24"/>
          <w:szCs w:val="24"/>
          <w14:textFill>
            <w14:solidFill>
              <w14:schemeClr w14:val="tx1"/>
            </w14:solidFill>
          </w14:textFill>
        </w:rPr>
        <w:t>；</w:t>
      </w:r>
    </w:p>
    <w:p w14:paraId="3FEF5A6C">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提供费用预算给新国大苏研院：关于新国大教学人员往返新加坡和苏州的旅费、课程和毕业设计相关的费用；</w:t>
      </w:r>
    </w:p>
    <w:p w14:paraId="5C6CB647">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自行定夺考试和面试以选拔申请硕士课程的学生；</w:t>
      </w:r>
    </w:p>
    <w:p w14:paraId="5199A1DA">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衔接课程中与</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w:t>
      </w:r>
      <w:r>
        <w:rPr>
          <w:rFonts w:hint="eastAsia" w:asciiTheme="majorEastAsia" w:hAnsiTheme="majorEastAsia" w:eastAsiaTheme="majorEastAsia"/>
          <w:color w:val="000000" w:themeColor="text1"/>
          <w:sz w:val="24"/>
          <w:szCs w:val="24"/>
          <w14:textFill>
            <w14:solidFill>
              <w14:schemeClr w14:val="tx1"/>
            </w14:solidFill>
          </w14:textFill>
        </w:rPr>
        <w:t>相关课程的教学大纲主要根据新国大已有的4000系列中的</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w:t>
      </w:r>
      <w:r>
        <w:rPr>
          <w:rFonts w:hint="eastAsia" w:asciiTheme="majorEastAsia" w:hAnsiTheme="majorEastAsia" w:eastAsiaTheme="majorEastAsia"/>
          <w:color w:val="000000" w:themeColor="text1"/>
          <w:sz w:val="24"/>
          <w:szCs w:val="24"/>
          <w14:textFill>
            <w14:solidFill>
              <w14:schemeClr w14:val="tx1"/>
            </w14:solidFill>
          </w14:textFill>
        </w:rPr>
        <w:t>教学单元制定。同时，为满足生环学院的本科培养要求，课程会在新国大制定的教学大纲基础上做相应调整。</w:t>
      </w:r>
    </w:p>
    <w:p w14:paraId="0DE2FCCB">
      <w:pPr>
        <w:pStyle w:val="6"/>
        <w:numPr>
          <w:ilvl w:val="1"/>
          <w:numId w:val="2"/>
        </w:numPr>
        <w:spacing w:before="120" w:beforeLines="50" w:after="120" w:afterLines="50"/>
        <w:ind w:left="448" w:hanging="448"/>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新国大苏研院承担如下</w:t>
      </w:r>
      <w:r>
        <w:rPr>
          <w:rFonts w:asciiTheme="majorEastAsia" w:hAnsiTheme="majorEastAsia" w:eastAsiaTheme="majorEastAsia"/>
          <w:color w:val="000000" w:themeColor="text1"/>
          <w:sz w:val="24"/>
          <w:szCs w:val="24"/>
          <w14:textFill>
            <w14:solidFill>
              <w14:schemeClr w14:val="tx1"/>
            </w14:solidFill>
          </w14:textFill>
        </w:rPr>
        <w:t>义务</w:t>
      </w:r>
      <w:r>
        <w:rPr>
          <w:rFonts w:hint="eastAsia" w:asciiTheme="majorEastAsia" w:hAnsiTheme="majorEastAsia" w:eastAsiaTheme="majorEastAsia"/>
          <w:color w:val="000000" w:themeColor="text1"/>
          <w:sz w:val="24"/>
          <w:szCs w:val="24"/>
          <w14:textFill>
            <w14:solidFill>
              <w14:schemeClr w14:val="tx1"/>
            </w14:solidFill>
          </w14:textFill>
        </w:rPr>
        <w:t>：</w:t>
      </w:r>
    </w:p>
    <w:p w14:paraId="5808ADFE">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向注册学生收取衔接课程项目的费用；</w:t>
      </w:r>
    </w:p>
    <w:p w14:paraId="6007D698">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举办“英语学术写作与交流”和“科学及技术系列研讨会”课程；</w:t>
      </w:r>
    </w:p>
    <w:p w14:paraId="27C05F96">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协助</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w:t>
      </w:r>
      <w:r>
        <w:rPr>
          <w:rFonts w:hint="eastAsia" w:asciiTheme="majorEastAsia" w:hAnsiTheme="majorEastAsia" w:eastAsiaTheme="majorEastAsia"/>
          <w:color w:val="000000" w:themeColor="text1"/>
          <w:sz w:val="24"/>
          <w:szCs w:val="24"/>
          <w14:textFill>
            <w14:solidFill>
              <w14:schemeClr w14:val="tx1"/>
            </w14:solidFill>
          </w14:textFill>
        </w:rPr>
        <w:t>相关课程的运行，如：制定时间表、提供上课和实验</w:t>
      </w:r>
      <w:r>
        <w:rPr>
          <w:rFonts w:asciiTheme="majorEastAsia" w:hAnsiTheme="majorEastAsia" w:eastAsiaTheme="majorEastAsia"/>
          <w:color w:val="000000" w:themeColor="text1"/>
          <w:sz w:val="24"/>
          <w:szCs w:val="24"/>
          <w14:textFill>
            <w14:solidFill>
              <w14:schemeClr w14:val="tx1"/>
            </w14:solidFill>
          </w14:textFill>
        </w:rPr>
        <w:t>场所</w:t>
      </w:r>
      <w:r>
        <w:rPr>
          <w:rFonts w:hint="eastAsia" w:asciiTheme="majorEastAsia" w:hAnsiTheme="majorEastAsia" w:eastAsiaTheme="majorEastAsia"/>
          <w:color w:val="000000" w:themeColor="text1"/>
          <w:sz w:val="24"/>
          <w:szCs w:val="24"/>
          <w14:textFill>
            <w14:solidFill>
              <w14:schemeClr w14:val="tx1"/>
            </w14:solidFill>
          </w14:textFill>
        </w:rPr>
        <w:t>、</w:t>
      </w:r>
      <w:r>
        <w:rPr>
          <w:rFonts w:asciiTheme="majorEastAsia" w:hAnsiTheme="majorEastAsia" w:eastAsiaTheme="majorEastAsia"/>
          <w:color w:val="000000" w:themeColor="text1"/>
          <w:sz w:val="24"/>
          <w:szCs w:val="24"/>
          <w14:textFill>
            <w14:solidFill>
              <w14:schemeClr w14:val="tx1"/>
            </w14:solidFill>
          </w14:textFill>
        </w:rPr>
        <w:t>为</w:t>
      </w:r>
      <w:r>
        <w:rPr>
          <w:rFonts w:hint="eastAsia" w:asciiTheme="majorEastAsia" w:hAnsiTheme="majorEastAsia" w:eastAsiaTheme="majorEastAsia"/>
          <w:color w:val="000000" w:themeColor="text1"/>
          <w:sz w:val="24"/>
          <w:szCs w:val="24"/>
          <w14:textFill>
            <w14:solidFill>
              <w14:schemeClr w14:val="tx1"/>
            </w14:solidFill>
          </w14:textFill>
        </w:rPr>
        <w:t>新国大教学人员提供旅费，住所</w:t>
      </w:r>
      <w:r>
        <w:rPr>
          <w:rFonts w:asciiTheme="majorEastAsia" w:hAnsiTheme="majorEastAsia" w:eastAsiaTheme="majorEastAsia"/>
          <w:color w:val="000000" w:themeColor="text1"/>
          <w:sz w:val="24"/>
          <w:szCs w:val="24"/>
          <w14:textFill>
            <w14:solidFill>
              <w14:schemeClr w14:val="tx1"/>
            </w14:solidFill>
          </w14:textFill>
        </w:rPr>
        <w:t>并支付</w:t>
      </w:r>
      <w:r>
        <w:rPr>
          <w:rFonts w:hint="eastAsia" w:asciiTheme="majorEastAsia" w:hAnsiTheme="majorEastAsia" w:eastAsiaTheme="majorEastAsia"/>
          <w:color w:val="000000" w:themeColor="text1"/>
          <w:sz w:val="24"/>
          <w:szCs w:val="24"/>
          <w14:textFill>
            <w14:solidFill>
              <w14:schemeClr w14:val="tx1"/>
            </w14:solidFill>
          </w14:textFill>
        </w:rPr>
        <w:t>出差补贴等；</w:t>
      </w:r>
    </w:p>
    <w:p w14:paraId="1A1FB338">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在衔接课程阶段，协助学生在新国大苏研院实验室完成毕业</w:t>
      </w:r>
      <w:r>
        <w:rPr>
          <w:rFonts w:asciiTheme="majorEastAsia" w:hAnsiTheme="majorEastAsia" w:eastAsiaTheme="majorEastAsia"/>
          <w:color w:val="000000" w:themeColor="text1"/>
          <w:sz w:val="24"/>
          <w:szCs w:val="24"/>
          <w14:textFill>
            <w14:solidFill>
              <w14:schemeClr w14:val="tx1"/>
            </w14:solidFill>
          </w14:textFill>
        </w:rPr>
        <w:t>论文</w:t>
      </w:r>
      <w:r>
        <w:rPr>
          <w:rFonts w:hint="eastAsia" w:asciiTheme="majorEastAsia" w:hAnsiTheme="majorEastAsia" w:eastAsiaTheme="majorEastAsia"/>
          <w:color w:val="000000" w:themeColor="text1"/>
          <w:sz w:val="24"/>
          <w:szCs w:val="24"/>
          <w14:textFill>
            <w14:solidFill>
              <w14:schemeClr w14:val="tx1"/>
            </w14:solidFill>
          </w14:textFill>
        </w:rPr>
        <w:t>；提供合适的实验室工作人员给学生安全培训并维持实验室日常运作；</w:t>
      </w:r>
    </w:p>
    <w:p w14:paraId="4D2B27E3">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asciiTheme="majorEastAsia" w:hAnsiTheme="majorEastAsia" w:eastAsiaTheme="majorEastAsia"/>
          <w:color w:val="000000" w:themeColor="text1"/>
          <w:sz w:val="24"/>
          <w:szCs w:val="24"/>
          <w14:textFill>
            <w14:solidFill>
              <w14:schemeClr w14:val="tx1"/>
            </w14:solidFill>
          </w14:textFill>
        </w:rPr>
        <w:t>为</w:t>
      </w:r>
      <w:r>
        <w:rPr>
          <w:rFonts w:hint="eastAsia" w:asciiTheme="majorEastAsia" w:hAnsiTheme="majorEastAsia" w:eastAsiaTheme="majorEastAsia"/>
          <w:color w:val="000000" w:themeColor="text1"/>
          <w:sz w:val="24"/>
          <w:szCs w:val="24"/>
          <w14:textFill>
            <w14:solidFill>
              <w14:schemeClr w14:val="tx1"/>
            </w14:solidFill>
          </w14:textFill>
        </w:rPr>
        <w:t>参与衔接课程的学生提供必要的帮助。</w:t>
      </w:r>
    </w:p>
    <w:p w14:paraId="0BA60051">
      <w:pPr>
        <w:pStyle w:val="6"/>
        <w:numPr>
          <w:ilvl w:val="1"/>
          <w:numId w:val="2"/>
        </w:numPr>
        <w:spacing w:before="120" w:beforeLines="50" w:after="120" w:afterLines="50"/>
        <w:ind w:left="448" w:hanging="448"/>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生环学院承担如下义务：</w:t>
      </w:r>
    </w:p>
    <w:p w14:paraId="7A66D686">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在本科生中推广“3+1+1”联合培养项目；</w:t>
      </w:r>
    </w:p>
    <w:p w14:paraId="5640CE3C">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对参与“3+1+1” 联合培养项目的学生进行预筛选工作；</w:t>
      </w:r>
    </w:p>
    <w:p w14:paraId="0F34C1DF">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根据其学位授予要求认定学生在新国大苏研院参加课程所获得的学分；</w:t>
      </w:r>
    </w:p>
    <w:p w14:paraId="75FE34F7">
      <w:pPr>
        <w:pStyle w:val="6"/>
        <w:numPr>
          <w:ilvl w:val="0"/>
          <w:numId w:val="3"/>
        </w:numPr>
        <w:spacing w:before="120" w:beforeLines="50" w:after="120" w:afterLines="50"/>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如果学生退出</w:t>
      </w:r>
      <w:r>
        <w:rPr>
          <w:rFonts w:asciiTheme="majorEastAsia" w:hAnsiTheme="majorEastAsia" w:eastAsiaTheme="majorEastAsia"/>
          <w:color w:val="000000" w:themeColor="text1"/>
          <w:sz w:val="24"/>
          <w:szCs w:val="24"/>
          <w14:textFill>
            <w14:solidFill>
              <w14:schemeClr w14:val="tx1"/>
            </w14:solidFill>
          </w14:textFill>
        </w:rPr>
        <w:t>衔接课程或者不能</w:t>
      </w:r>
      <w:r>
        <w:rPr>
          <w:rFonts w:hint="eastAsia" w:asciiTheme="majorEastAsia" w:hAnsiTheme="majorEastAsia" w:eastAsiaTheme="majorEastAsia"/>
          <w:color w:val="000000" w:themeColor="text1"/>
          <w:sz w:val="24"/>
          <w:szCs w:val="24"/>
          <w14:textFill>
            <w14:solidFill>
              <w14:schemeClr w14:val="tx1"/>
            </w14:solidFill>
          </w14:textFill>
        </w:rPr>
        <w:t>达到</w:t>
      </w:r>
      <w:r>
        <w:rPr>
          <w:rFonts w:asciiTheme="majorEastAsia" w:hAnsiTheme="majorEastAsia" w:eastAsiaTheme="majorEastAsia"/>
          <w:color w:val="000000" w:themeColor="text1"/>
          <w:sz w:val="24"/>
          <w:szCs w:val="24"/>
          <w14:textFill>
            <w14:solidFill>
              <w14:schemeClr w14:val="tx1"/>
            </w14:solidFill>
          </w14:textFill>
        </w:rPr>
        <w:t>衔接课程</w:t>
      </w:r>
      <w:r>
        <w:rPr>
          <w:rFonts w:hint="eastAsia" w:asciiTheme="majorEastAsia" w:hAnsiTheme="majorEastAsia" w:eastAsiaTheme="majorEastAsia"/>
          <w:color w:val="000000" w:themeColor="text1"/>
          <w:sz w:val="24"/>
          <w:szCs w:val="24"/>
          <w14:textFill>
            <w14:solidFill>
              <w14:schemeClr w14:val="tx1"/>
            </w14:solidFill>
          </w14:textFill>
        </w:rPr>
        <w:t>要求，生环学院会做出妥善</w:t>
      </w:r>
      <w:r>
        <w:rPr>
          <w:rFonts w:asciiTheme="majorEastAsia" w:hAnsiTheme="majorEastAsia" w:eastAsiaTheme="majorEastAsia"/>
          <w:color w:val="000000" w:themeColor="text1"/>
          <w:sz w:val="24"/>
          <w:szCs w:val="24"/>
          <w14:textFill>
            <w14:solidFill>
              <w14:schemeClr w14:val="tx1"/>
            </w14:solidFill>
          </w14:textFill>
        </w:rPr>
        <w:t>安排</w:t>
      </w:r>
      <w:r>
        <w:rPr>
          <w:rFonts w:hint="eastAsia" w:asciiTheme="majorEastAsia" w:hAnsiTheme="majorEastAsia" w:eastAsiaTheme="majorEastAsia"/>
          <w:color w:val="000000" w:themeColor="text1"/>
          <w:sz w:val="24"/>
          <w:szCs w:val="24"/>
          <w14:textFill>
            <w14:solidFill>
              <w14:schemeClr w14:val="tx1"/>
            </w14:solidFill>
          </w14:textFill>
        </w:rPr>
        <w:t>使学生达到毕业要求。</w:t>
      </w:r>
    </w:p>
    <w:p w14:paraId="3442E756">
      <w:pPr>
        <w:spacing w:before="50" w:after="120"/>
        <w:rPr>
          <w:rFonts w:asciiTheme="majorEastAsia" w:hAnsiTheme="majorEastAsia" w:eastAsiaTheme="majorEastAsia"/>
          <w:color w:val="000000" w:themeColor="text1"/>
          <w14:textFill>
            <w14:solidFill>
              <w14:schemeClr w14:val="tx1"/>
            </w14:solidFill>
          </w14:textFill>
        </w:rPr>
      </w:pPr>
    </w:p>
    <w:p w14:paraId="05B18E9C">
      <w:pPr>
        <w:pStyle w:val="6"/>
        <w:widowControl w:val="0"/>
        <w:numPr>
          <w:ilvl w:val="0"/>
          <w:numId w:val="1"/>
        </w:numPr>
        <w:spacing w:before="120" w:beforeLines="50" w:after="120" w:afterLines="50" w:line="360" w:lineRule="auto"/>
        <w:contextualSpacing/>
        <w:jc w:val="both"/>
        <w:rPr>
          <w:rFonts w:asciiTheme="majorEastAsia" w:hAnsiTheme="majorEastAsia" w:eastAsiaTheme="majorEastAsia"/>
          <w:b/>
          <w:color w:val="000000" w:themeColor="text1"/>
          <w:sz w:val="24"/>
          <w:szCs w:val="24"/>
          <w14:textFill>
            <w14:solidFill>
              <w14:schemeClr w14:val="tx1"/>
            </w14:solidFill>
          </w14:textFill>
        </w:rPr>
      </w:pPr>
      <w:r>
        <w:rPr>
          <w:rFonts w:asciiTheme="majorEastAsia" w:hAnsiTheme="majorEastAsia" w:eastAsiaTheme="majorEastAsia"/>
          <w:b/>
          <w:color w:val="000000" w:themeColor="text1"/>
          <w:sz w:val="24"/>
          <w:szCs w:val="24"/>
          <w14:textFill>
            <w14:solidFill>
              <w14:schemeClr w14:val="tx1"/>
            </w14:solidFill>
          </w14:textFill>
        </w:rPr>
        <w:t>衔接</w:t>
      </w:r>
      <w:r>
        <w:rPr>
          <w:rFonts w:hint="eastAsia" w:asciiTheme="majorEastAsia" w:hAnsiTheme="majorEastAsia" w:eastAsiaTheme="majorEastAsia"/>
          <w:b/>
          <w:color w:val="000000" w:themeColor="text1"/>
          <w:sz w:val="24"/>
          <w:szCs w:val="24"/>
          <w14:textFill>
            <w14:solidFill>
              <w14:schemeClr w14:val="tx1"/>
            </w14:solidFill>
          </w14:textFill>
        </w:rPr>
        <w:t>课程设置</w:t>
      </w:r>
    </w:p>
    <w:p w14:paraId="07B8AB46">
      <w:pPr>
        <w:pStyle w:val="6"/>
        <w:numPr>
          <w:ilvl w:val="1"/>
          <w:numId w:val="4"/>
        </w:num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在新国大苏研院的衔接课程有2个学期。为了保证培训质量和安全，在新国大苏研院参与最后毕业论文设计的生环学院学生数量不超过</w:t>
      </w:r>
      <w:r>
        <w:rPr>
          <w:rFonts w:asciiTheme="majorEastAsia" w:hAnsiTheme="majorEastAsia" w:eastAsiaTheme="majorEastAsia"/>
          <w:color w:val="000000" w:themeColor="text1"/>
          <w:sz w:val="24"/>
          <w:szCs w:val="24"/>
          <w14:textFill>
            <w14:solidFill>
              <w14:schemeClr w14:val="tx1"/>
            </w14:solidFill>
          </w14:textFill>
        </w:rPr>
        <w:t>1</w:t>
      </w:r>
      <w:r>
        <w:rPr>
          <w:rFonts w:hint="eastAsia" w:asciiTheme="majorEastAsia" w:hAnsiTheme="majorEastAsia" w:eastAsiaTheme="majorEastAsia"/>
          <w:color w:val="000000" w:themeColor="text1"/>
          <w:sz w:val="24"/>
          <w:szCs w:val="24"/>
          <w:lang w:val="en-US"/>
          <w14:textFill>
            <w14:solidFill>
              <w14:schemeClr w14:val="tx1"/>
            </w14:solidFill>
          </w14:textFill>
        </w:rPr>
        <w:t>0</w:t>
      </w:r>
      <w:r>
        <w:rPr>
          <w:rFonts w:hint="eastAsia" w:asciiTheme="majorEastAsia" w:hAnsiTheme="majorEastAsia" w:eastAsiaTheme="majorEastAsia"/>
          <w:color w:val="000000" w:themeColor="text1"/>
          <w:sz w:val="24"/>
          <w:szCs w:val="24"/>
          <w14:textFill>
            <w14:solidFill>
              <w14:schemeClr w14:val="tx1"/>
            </w14:solidFill>
          </w14:textFill>
        </w:rPr>
        <w:t>人。该</w:t>
      </w:r>
      <w:r>
        <w:rPr>
          <w:rFonts w:asciiTheme="majorEastAsia" w:hAnsiTheme="majorEastAsia" w:eastAsiaTheme="majorEastAsia"/>
          <w:color w:val="000000" w:themeColor="text1"/>
          <w:sz w:val="24"/>
          <w:szCs w:val="24"/>
          <w14:textFill>
            <w14:solidFill>
              <w14:schemeClr w14:val="tx1"/>
            </w14:solidFill>
          </w14:textFill>
        </w:rPr>
        <w:t>人数</w:t>
      </w:r>
      <w:r>
        <w:rPr>
          <w:rFonts w:hint="eastAsia" w:asciiTheme="majorEastAsia" w:hAnsiTheme="majorEastAsia" w:eastAsiaTheme="majorEastAsia"/>
          <w:color w:val="000000" w:themeColor="text1"/>
          <w:sz w:val="24"/>
          <w:szCs w:val="24"/>
          <w14:textFill>
            <w14:solidFill>
              <w14:schemeClr w14:val="tx1"/>
            </w14:solidFill>
          </w14:textFill>
        </w:rPr>
        <w:t>将会根据第二年的评估做出相应调整。</w:t>
      </w:r>
    </w:p>
    <w:p w14:paraId="528F6389">
      <w:pPr>
        <w:pStyle w:val="6"/>
        <w:numPr>
          <w:ilvl w:val="1"/>
          <w:numId w:val="4"/>
        </w:numPr>
        <w:spacing w:before="120" w:beforeLines="50" w:after="120" w:afterLines="50"/>
        <w:ind w:left="490" w:hanging="489" w:hangingChars="204"/>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在新国大苏研院参与衔接课程的学生将参加以下课程：</w:t>
      </w:r>
    </w:p>
    <w:tbl>
      <w:tblPr>
        <w:tblStyle w:val="3"/>
        <w:tblpPr w:leftFromText="180" w:rightFromText="180" w:vertAnchor="text" w:horzAnchor="margin" w:tblpXSpec="center" w:tblpY="18"/>
        <w:tblW w:w="82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2948"/>
        <w:gridCol w:w="4751"/>
      </w:tblGrid>
      <w:tr w14:paraId="2A174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61EA6711">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1</w:t>
            </w:r>
          </w:p>
        </w:tc>
        <w:tc>
          <w:tcPr>
            <w:tcW w:w="2948" w:type="dxa"/>
            <w:vAlign w:val="center"/>
          </w:tcPr>
          <w:p w14:paraId="7880F161">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“英语学术写作与交流”</w:t>
            </w:r>
          </w:p>
        </w:tc>
        <w:tc>
          <w:tcPr>
            <w:tcW w:w="4751" w:type="dxa"/>
            <w:vAlign w:val="center"/>
          </w:tcPr>
          <w:p w14:paraId="05B92043">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由新国大苏研院举办，学生需准备新国大的英语测试</w:t>
            </w:r>
          </w:p>
        </w:tc>
      </w:tr>
      <w:tr w14:paraId="2194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5B158803">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2</w:t>
            </w:r>
          </w:p>
        </w:tc>
        <w:tc>
          <w:tcPr>
            <w:tcW w:w="2948" w:type="dxa"/>
            <w:vAlign w:val="center"/>
          </w:tcPr>
          <w:p w14:paraId="640FD226">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“科学及技术系列研讨会”</w:t>
            </w:r>
          </w:p>
        </w:tc>
        <w:tc>
          <w:tcPr>
            <w:tcW w:w="4751" w:type="dxa"/>
            <w:vAlign w:val="center"/>
          </w:tcPr>
          <w:p w14:paraId="4DFDEDB2">
            <w:pPr>
              <w:pStyle w:val="6"/>
              <w:spacing w:before="50" w:after="120"/>
              <w:ind w:left="110" w:hanging="110" w:hangingChars="5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每月由新国大苏研院举办，演讲者来自</w:t>
            </w:r>
            <w:r>
              <w:rPr>
                <w:rFonts w:asciiTheme="majorEastAsia" w:hAnsiTheme="majorEastAsia" w:eastAsiaTheme="majorEastAsia"/>
                <w:color w:val="000000" w:themeColor="text1"/>
                <w14:textFill>
                  <w14:solidFill>
                    <w14:schemeClr w14:val="tx1"/>
                  </w14:solidFill>
                </w14:textFill>
              </w:rPr>
              <w:t>海内外产业界</w:t>
            </w:r>
            <w:r>
              <w:rPr>
                <w:rFonts w:hint="eastAsia" w:asciiTheme="majorEastAsia" w:hAnsiTheme="majorEastAsia" w:eastAsiaTheme="majorEastAsia"/>
                <w:color w:val="000000" w:themeColor="text1"/>
                <w14:textFill>
                  <w14:solidFill>
                    <w14:schemeClr w14:val="tx1"/>
                  </w14:solidFill>
                </w14:textFill>
              </w:rPr>
              <w:t>及学术界</w:t>
            </w:r>
          </w:p>
        </w:tc>
      </w:tr>
      <w:tr w14:paraId="56F0E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5E41E353">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p>
        </w:tc>
        <w:tc>
          <w:tcPr>
            <w:tcW w:w="2948" w:type="dxa"/>
            <w:vAlign w:val="center"/>
          </w:tcPr>
          <w:p w14:paraId="20BAE0EA">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新国大土木与环境工程系提供相关课程</w:t>
            </w:r>
          </w:p>
          <w:p w14:paraId="3C532ADA">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（选修）</w:t>
            </w:r>
          </w:p>
        </w:tc>
        <w:tc>
          <w:tcPr>
            <w:tcW w:w="4751" w:type="dxa"/>
            <w:vAlign w:val="center"/>
          </w:tcPr>
          <w:p w14:paraId="5D9FCFB9">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由新国大土木与环境工程系老师授课；这些课程将会与</w:t>
            </w:r>
            <w:r>
              <w:rPr>
                <w:rFonts w:hint="eastAsia" w:asciiTheme="majorEastAsia" w:hAnsiTheme="majorEastAsia" w:eastAsiaTheme="majorEastAsia"/>
                <w:color w:val="000000" w:themeColor="text1"/>
                <w:sz w:val="24"/>
                <w:szCs w:val="24"/>
                <w14:textFill>
                  <w14:solidFill>
                    <w14:schemeClr w14:val="tx1"/>
                  </w14:solidFill>
                </w14:textFill>
              </w:rPr>
              <w:t>生环学院</w:t>
            </w:r>
            <w:r>
              <w:rPr>
                <w:rFonts w:hint="eastAsia" w:asciiTheme="majorEastAsia" w:hAnsiTheme="majorEastAsia" w:eastAsiaTheme="majorEastAsia"/>
                <w:color w:val="000000" w:themeColor="text1"/>
                <w14:textFill>
                  <w14:solidFill>
                    <w14:schemeClr w14:val="tx1"/>
                  </w14:solidFill>
                </w14:textFill>
              </w:rPr>
              <w:t>商讨后确定；示例如条款3.3中所示（暂定）</w:t>
            </w:r>
          </w:p>
        </w:tc>
      </w:tr>
      <w:tr w14:paraId="3FE62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72D87341">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4</w:t>
            </w:r>
          </w:p>
        </w:tc>
        <w:tc>
          <w:tcPr>
            <w:tcW w:w="2948" w:type="dxa"/>
            <w:vAlign w:val="center"/>
          </w:tcPr>
          <w:p w14:paraId="74CA7E4B">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毕业</w:t>
            </w:r>
            <w:r>
              <w:rPr>
                <w:rFonts w:asciiTheme="majorEastAsia" w:hAnsiTheme="majorEastAsia" w:eastAsiaTheme="majorEastAsia"/>
                <w:color w:val="000000" w:themeColor="text1"/>
                <w14:textFill>
                  <w14:solidFill>
                    <w14:schemeClr w14:val="tx1"/>
                  </w14:solidFill>
                </w14:textFill>
              </w:rPr>
              <w:t>论文</w:t>
            </w:r>
          </w:p>
        </w:tc>
        <w:tc>
          <w:tcPr>
            <w:tcW w:w="4751" w:type="dxa"/>
            <w:vAlign w:val="center"/>
          </w:tcPr>
          <w:p w14:paraId="175C02DA">
            <w:pPr>
              <w:pStyle w:val="6"/>
              <w:spacing w:before="50" w:after="120"/>
              <w:ind w:left="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由新国大土木与环境工程系老师执行</w:t>
            </w:r>
          </w:p>
        </w:tc>
      </w:tr>
    </w:tbl>
    <w:p w14:paraId="7B3BB9E9">
      <w:pPr>
        <w:pStyle w:val="6"/>
        <w:numPr>
          <w:ilvl w:val="1"/>
          <w:numId w:val="4"/>
        </w:num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在新国大苏研院开设的</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w:t>
      </w:r>
      <w:r>
        <w:rPr>
          <w:rFonts w:hint="eastAsia" w:asciiTheme="majorEastAsia" w:hAnsiTheme="majorEastAsia" w:eastAsiaTheme="majorEastAsia"/>
          <w:color w:val="000000" w:themeColor="text1"/>
          <w:sz w:val="24"/>
          <w:szCs w:val="24"/>
          <w14:textFill>
            <w14:solidFill>
              <w14:schemeClr w14:val="tx1"/>
            </w14:solidFill>
          </w14:textFill>
        </w:rPr>
        <w:t>相关的课程将会根据新国大已有的4000系列中与</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w:t>
      </w:r>
      <w:r>
        <w:rPr>
          <w:rFonts w:hint="eastAsia" w:asciiTheme="majorEastAsia" w:hAnsiTheme="majorEastAsia" w:eastAsiaTheme="majorEastAsia"/>
          <w:color w:val="000000" w:themeColor="text1"/>
          <w:sz w:val="24"/>
          <w:szCs w:val="24"/>
          <w14:textFill>
            <w14:solidFill>
              <w14:schemeClr w14:val="tx1"/>
            </w14:solidFill>
          </w14:textFill>
        </w:rPr>
        <w:t>相关的教学单元制定教学大纲。但这些</w:t>
      </w:r>
      <w:r>
        <w:rPr>
          <w:rFonts w:hint="eastAsia" w:asciiTheme="majorEastAsia" w:hAnsiTheme="majorEastAsia" w:eastAsiaTheme="majorEastAsia"/>
          <w:color w:val="000000" w:themeColor="text1"/>
          <w:sz w:val="24"/>
          <w:szCs w:val="24"/>
          <w:lang w:val="en-US"/>
          <w14:textFill>
            <w14:solidFill>
              <w14:schemeClr w14:val="tx1"/>
            </w14:solidFill>
          </w14:textFill>
        </w:rPr>
        <w:t>环境</w:t>
      </w:r>
      <w:r>
        <w:rPr>
          <w:rFonts w:asciiTheme="majorEastAsia" w:hAnsiTheme="majorEastAsia" w:eastAsiaTheme="majorEastAsia"/>
          <w:color w:val="000000" w:themeColor="text1"/>
          <w:sz w:val="24"/>
          <w:szCs w:val="24"/>
          <w14:textFill>
            <w14:solidFill>
              <w14:schemeClr w14:val="tx1"/>
            </w14:solidFill>
          </w14:textFill>
        </w:rPr>
        <w:t>工程</w:t>
      </w:r>
      <w:r>
        <w:rPr>
          <w:rFonts w:hint="eastAsia" w:asciiTheme="majorEastAsia" w:hAnsiTheme="majorEastAsia" w:eastAsiaTheme="majorEastAsia"/>
          <w:color w:val="000000" w:themeColor="text1"/>
          <w:sz w:val="24"/>
          <w:szCs w:val="24"/>
          <w14:textFill>
            <w14:solidFill>
              <w14:schemeClr w14:val="tx1"/>
            </w14:solidFill>
          </w14:textFill>
        </w:rPr>
        <w:t>相关的课程会根据生环学院本科学位最后一年的教学课程进行调整。</w:t>
      </w:r>
    </w:p>
    <w:p w14:paraId="3D580D1E">
      <w:pPr>
        <w:pStyle w:val="6"/>
        <w:spacing w:before="120" w:beforeLines="50" w:after="120" w:afterLines="50"/>
        <w:ind w:left="45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示例</w:t>
      </w:r>
      <w:r>
        <w:rPr>
          <w:rFonts w:hint="eastAsia" w:asciiTheme="majorEastAsia" w:hAnsiTheme="majorEastAsia" w:eastAsiaTheme="majorEastAsia"/>
          <w:color w:val="000000" w:themeColor="text1"/>
          <w:sz w:val="24"/>
          <w:szCs w:val="24"/>
          <w14:textFill>
            <w14:solidFill>
              <w14:schemeClr w14:val="tx1"/>
            </w14:solidFill>
          </w14:textFill>
        </w:rPr>
        <w:t>课程系列列举如下：</w:t>
      </w:r>
    </w:p>
    <w:tbl>
      <w:tblPr>
        <w:tblStyle w:val="3"/>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8"/>
        <w:gridCol w:w="4064"/>
      </w:tblGrid>
      <w:tr w14:paraId="03627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4158" w:type="dxa"/>
            <w:vAlign w:val="center"/>
          </w:tcPr>
          <w:p w14:paraId="75FBF9E8">
            <w:pPr>
              <w:spacing w:before="50" w:after="120"/>
              <w:jc w:val="center"/>
              <w:rPr>
                <w:rFonts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lang w:val="en-US"/>
                <w14:textFill>
                  <w14:solidFill>
                    <w14:schemeClr w14:val="tx1"/>
                  </w14:solidFill>
                </w14:textFill>
              </w:rPr>
              <w:t>环境工程</w:t>
            </w:r>
            <w:r>
              <w:rPr>
                <w:rFonts w:hint="eastAsia" w:asciiTheme="majorEastAsia" w:hAnsiTheme="majorEastAsia" w:eastAsiaTheme="majorEastAsia"/>
                <w:b/>
                <w:color w:val="000000" w:themeColor="text1"/>
                <w14:textFill>
                  <w14:solidFill>
                    <w14:schemeClr w14:val="tx1"/>
                  </w14:solidFill>
                </w14:textFill>
              </w:rPr>
              <w:t>相关课程@新国大苏研院</w:t>
            </w:r>
          </w:p>
        </w:tc>
        <w:tc>
          <w:tcPr>
            <w:tcW w:w="4064" w:type="dxa"/>
            <w:vAlign w:val="center"/>
          </w:tcPr>
          <w:p w14:paraId="5EAF3A75">
            <w:pPr>
              <w:spacing w:before="50" w:after="120"/>
              <w:jc w:val="center"/>
              <w:rPr>
                <w:rFonts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新国大</w:t>
            </w:r>
            <w:r>
              <w:rPr>
                <w:rFonts w:hint="eastAsia" w:asciiTheme="majorEastAsia" w:hAnsiTheme="majorEastAsia" w:eastAsiaTheme="majorEastAsia"/>
                <w:b/>
                <w:color w:val="000000" w:themeColor="text1"/>
                <w:lang w:val="en-US"/>
                <w14:textFill>
                  <w14:solidFill>
                    <w14:schemeClr w14:val="tx1"/>
                  </w14:solidFill>
                </w14:textFill>
              </w:rPr>
              <w:t>环境</w:t>
            </w:r>
            <w:r>
              <w:rPr>
                <w:rFonts w:hint="eastAsia" w:asciiTheme="majorEastAsia" w:hAnsiTheme="majorEastAsia" w:eastAsiaTheme="majorEastAsia"/>
                <w:b/>
                <w:color w:val="000000" w:themeColor="text1"/>
                <w14:textFill>
                  <w14:solidFill>
                    <w14:schemeClr w14:val="tx1"/>
                  </w14:solidFill>
                </w14:textFill>
              </w:rPr>
              <w:t>工程本科相关课程</w:t>
            </w:r>
          </w:p>
        </w:tc>
      </w:tr>
      <w:tr w14:paraId="512E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158" w:type="dxa"/>
          </w:tcPr>
          <w:p w14:paraId="73F09BCF">
            <w:pPr>
              <w:spacing w:line="256" w:lineRule="auto"/>
              <w:rPr>
                <w:color w:val="000000" w:themeColor="text1"/>
                <w:lang w:val="en-US"/>
                <w14:textFill>
                  <w14:solidFill>
                    <w14:schemeClr w14:val="tx1"/>
                  </w14:solidFill>
                </w14:textFill>
              </w:rPr>
            </w:pPr>
            <w:r>
              <w:rPr>
                <w:rFonts w:hint="eastAsia"/>
                <w:color w:val="000000" w:themeColor="text1"/>
                <w:lang w:val="en-US"/>
                <w14:textFill>
                  <w14:solidFill>
                    <w14:schemeClr w14:val="tx1"/>
                  </w14:solidFill>
                </w14:textFill>
              </w:rPr>
              <w:t>水和废水处理工程 2</w:t>
            </w:r>
          </w:p>
        </w:tc>
        <w:tc>
          <w:tcPr>
            <w:tcW w:w="4064" w:type="dxa"/>
          </w:tcPr>
          <w:p w14:paraId="70964DA8">
            <w:pPr>
              <w:spacing w:before="50" w:after="120"/>
              <w:jc w:val="center"/>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ESE4401</w:t>
            </w:r>
          </w:p>
        </w:tc>
      </w:tr>
      <w:tr w14:paraId="0C6BA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4158" w:type="dxa"/>
          </w:tcPr>
          <w:p w14:paraId="6F478287">
            <w:pPr>
              <w:spacing w:line="256"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膜技术在环境工程中的应用</w:t>
            </w:r>
          </w:p>
        </w:tc>
        <w:tc>
          <w:tcPr>
            <w:tcW w:w="4064" w:type="dxa"/>
          </w:tcPr>
          <w:p w14:paraId="25677120">
            <w:pPr>
              <w:spacing w:before="50" w:after="120"/>
              <w:jc w:val="center"/>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ESE4403</w:t>
            </w:r>
          </w:p>
        </w:tc>
      </w:tr>
      <w:tr w14:paraId="0CC91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58" w:type="dxa"/>
          </w:tcPr>
          <w:p w14:paraId="197F5E5B">
            <w:pPr>
              <w:spacing w:line="256" w:lineRule="auto"/>
              <w:rPr>
                <w:color w:val="000000" w:themeColor="text1"/>
                <w:lang w:val="en-US"/>
                <w14:textFill>
                  <w14:solidFill>
                    <w14:schemeClr w14:val="tx1"/>
                  </w14:solidFill>
                </w14:textFill>
              </w:rPr>
            </w:pPr>
            <w:r>
              <w:rPr>
                <w:rFonts w:hint="eastAsia"/>
                <w:color w:val="000000" w:themeColor="text1"/>
                <w:lang w:val="en-US"/>
                <w14:textFill>
                  <w14:solidFill>
                    <w14:schemeClr w14:val="tx1"/>
                  </w14:solidFill>
                </w14:textFill>
              </w:rPr>
              <w:t>生物能源</w:t>
            </w:r>
          </w:p>
        </w:tc>
        <w:tc>
          <w:tcPr>
            <w:tcW w:w="4064" w:type="dxa"/>
          </w:tcPr>
          <w:p w14:paraId="465382AE">
            <w:pPr>
              <w:spacing w:before="50" w:after="120"/>
              <w:jc w:val="center"/>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ESE4404</w:t>
            </w:r>
          </w:p>
        </w:tc>
      </w:tr>
      <w:tr w14:paraId="6EBD1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58" w:type="dxa"/>
          </w:tcPr>
          <w:p w14:paraId="1A17647A">
            <w:pPr>
              <w:spacing w:line="256" w:lineRule="auto"/>
              <w:rPr>
                <w:color w:val="000000" w:themeColor="text1"/>
                <w:lang w:val="en-US"/>
                <w14:textFill>
                  <w14:solidFill>
                    <w14:schemeClr w14:val="tx1"/>
                  </w14:solidFill>
                </w14:textFill>
              </w:rPr>
            </w:pPr>
            <w:r>
              <w:rPr>
                <w:rFonts w:hint="eastAsia"/>
                <w:color w:val="000000" w:themeColor="text1"/>
                <w:lang w:val="en-US"/>
                <w14:textFill>
                  <w14:solidFill>
                    <w14:schemeClr w14:val="tx1"/>
                  </w14:solidFill>
                </w14:textFill>
              </w:rPr>
              <w:t>城市水工程与管理</w:t>
            </w:r>
          </w:p>
        </w:tc>
        <w:tc>
          <w:tcPr>
            <w:tcW w:w="4064" w:type="dxa"/>
          </w:tcPr>
          <w:p w14:paraId="0E7662E8">
            <w:pPr>
              <w:spacing w:before="50" w:after="120"/>
              <w:jc w:val="center"/>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ESE4405</w:t>
            </w:r>
          </w:p>
        </w:tc>
      </w:tr>
    </w:tbl>
    <w:p w14:paraId="66FA4A2A">
      <w:p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p>
    <w:p w14:paraId="2AFC0E4B">
      <w:p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所有课程均包含4</w:t>
      </w:r>
      <w:r>
        <w:rPr>
          <w:rFonts w:asciiTheme="majorEastAsia" w:hAnsiTheme="majorEastAsia" w:eastAsiaTheme="majorEastAsia"/>
          <w:color w:val="000000" w:themeColor="text1"/>
          <w:sz w:val="24"/>
          <w:szCs w:val="24"/>
          <w14:textFill>
            <w14:solidFill>
              <w14:schemeClr w14:val="tx1"/>
            </w14:solidFill>
          </w14:textFill>
        </w:rPr>
        <w:t>0</w:t>
      </w:r>
      <w:r>
        <w:rPr>
          <w:rFonts w:hint="eastAsia" w:asciiTheme="majorEastAsia" w:hAnsiTheme="majorEastAsia" w:eastAsiaTheme="majorEastAsia"/>
          <w:color w:val="000000" w:themeColor="text1"/>
          <w:sz w:val="24"/>
          <w:szCs w:val="24"/>
          <w14:textFill>
            <w14:solidFill>
              <w14:schemeClr w14:val="tx1"/>
            </w14:solidFill>
          </w14:textFill>
        </w:rPr>
        <w:t>个小时的面授课时，包括授课、辅导与讨论在内。所有课程均为英文授课。一些课程可能需要在新国大苏研院的实验室进行。</w:t>
      </w:r>
    </w:p>
    <w:p w14:paraId="22BD0F57">
      <w:pPr>
        <w:spacing w:before="50" w:after="120"/>
        <w:ind w:left="709"/>
        <w:jc w:val="both"/>
        <w:rPr>
          <w:rFonts w:asciiTheme="majorEastAsia" w:hAnsiTheme="majorEastAsia" w:eastAsiaTheme="majorEastAsia"/>
          <w:color w:val="000000" w:themeColor="text1"/>
          <w14:textFill>
            <w14:solidFill>
              <w14:schemeClr w14:val="tx1"/>
            </w14:solidFill>
          </w14:textFill>
        </w:rPr>
      </w:pPr>
    </w:p>
    <w:p w14:paraId="4A024A02">
      <w:pPr>
        <w:pStyle w:val="6"/>
        <w:widowControl w:val="0"/>
        <w:numPr>
          <w:ilvl w:val="0"/>
          <w:numId w:val="1"/>
        </w:numPr>
        <w:spacing w:before="120" w:beforeLines="50" w:after="120" w:afterLines="50" w:line="360" w:lineRule="auto"/>
        <w:contextualSpacing/>
        <w:jc w:val="both"/>
        <w:rPr>
          <w:rFonts w:asciiTheme="majorEastAsia" w:hAnsiTheme="majorEastAsia" w:eastAsiaTheme="majorEastAsia"/>
          <w:b/>
          <w:color w:val="000000" w:themeColor="text1"/>
          <w:sz w:val="24"/>
          <w:szCs w:val="24"/>
          <w14:textFill>
            <w14:solidFill>
              <w14:schemeClr w14:val="tx1"/>
            </w14:solidFill>
          </w14:textFill>
        </w:rPr>
      </w:pPr>
      <w:r>
        <w:rPr>
          <w:rFonts w:hint="eastAsia" w:asciiTheme="majorEastAsia" w:hAnsiTheme="majorEastAsia" w:eastAsiaTheme="majorEastAsia"/>
          <w:b/>
          <w:color w:val="000000" w:themeColor="text1"/>
          <w:sz w:val="24"/>
          <w:szCs w:val="24"/>
          <w14:textFill>
            <w14:solidFill>
              <w14:schemeClr w14:val="tx1"/>
            </w14:solidFill>
          </w14:textFill>
        </w:rPr>
        <w:t>项目费用</w:t>
      </w:r>
    </w:p>
    <w:p w14:paraId="54DDFA8E">
      <w:pPr>
        <w:pStyle w:val="6"/>
        <w:numPr>
          <w:ilvl w:val="1"/>
          <w:numId w:val="5"/>
        </w:num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在新国大苏研院的衔接课程阶段，由于学生尚未注册成为新国大学生，所以他们注册衔接课程时直接向新国大苏研院支付课程费用，包含用于毕业设计的材料和耗材费的费用。一年衔接课程阶段的收费标准以新国大苏研院官网公布的学费信息为准(www.nusri.cn)。在新国大课程硕士阶段，学生向新国大支付课程费用。课程的收费标准以新国大官网公布的学费信息为准(</w:t>
      </w:r>
      <w:r>
        <w:rPr>
          <w:rFonts w:asciiTheme="majorEastAsia" w:hAnsiTheme="majorEastAsia" w:eastAsiaTheme="majorEastAsia"/>
          <w:color w:val="000000" w:themeColor="text1"/>
          <w:sz w:val="24"/>
          <w:szCs w:val="24"/>
          <w14:textFill>
            <w14:solidFill>
              <w14:schemeClr w14:val="tx1"/>
            </w14:solidFill>
          </w14:textFill>
        </w:rPr>
        <w:t>nus.edu.sg</w:t>
      </w:r>
      <w:r>
        <w:rPr>
          <w:rFonts w:hint="eastAsia" w:asciiTheme="majorEastAsia" w:hAnsiTheme="majorEastAsia" w:eastAsiaTheme="majorEastAsia"/>
          <w:color w:val="000000" w:themeColor="text1"/>
          <w:sz w:val="24"/>
          <w:szCs w:val="24"/>
          <w14:textFill>
            <w14:solidFill>
              <w14:schemeClr w14:val="tx1"/>
            </w14:solidFill>
          </w14:textFill>
        </w:rPr>
        <w:t>)。</w:t>
      </w:r>
    </w:p>
    <w:p w14:paraId="62E1EC88">
      <w:p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p>
    <w:p w14:paraId="103BFA2C">
      <w:pPr>
        <w:pStyle w:val="6"/>
        <w:numPr>
          <w:ilvl w:val="1"/>
          <w:numId w:val="5"/>
        </w:num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根据新加坡教育部的规定，国际学生入读新加坡课程硕士项目不能申请、不享受新加坡教育部义务服务补贴。因此参与本“3+1+1”项目并被录取到课程硕士项目的学生将承诺全额自费支付学费。具体费用以当年新国大官方网站公布的标准为准。这是学生被本教育合作项目录取的前提条件。</w:t>
      </w:r>
    </w:p>
    <w:p w14:paraId="67F91883">
      <w:pPr>
        <w:pStyle w:val="6"/>
        <w:spacing w:before="120" w:beforeLines="50" w:after="120" w:afterLines="50"/>
        <w:ind w:left="450"/>
        <w:jc w:val="both"/>
        <w:rPr>
          <w:rFonts w:asciiTheme="majorEastAsia" w:hAnsiTheme="majorEastAsia" w:eastAsiaTheme="majorEastAsia"/>
          <w:color w:val="000000" w:themeColor="text1"/>
          <w:sz w:val="24"/>
          <w:szCs w:val="24"/>
          <w14:textFill>
            <w14:solidFill>
              <w14:schemeClr w14:val="tx1"/>
            </w14:solidFill>
          </w14:textFill>
        </w:rPr>
      </w:pPr>
    </w:p>
    <w:p w14:paraId="3F754B88">
      <w:pPr>
        <w:pStyle w:val="6"/>
        <w:spacing w:before="120" w:beforeLines="50" w:after="120" w:afterLines="50"/>
        <w:ind w:left="450"/>
        <w:jc w:val="both"/>
        <w:rPr>
          <w:rFonts w:asciiTheme="majorEastAsia" w:hAnsiTheme="majorEastAsia" w:eastAsiaTheme="majorEastAsia"/>
          <w:color w:val="000000" w:themeColor="text1"/>
          <w:sz w:val="24"/>
          <w:szCs w:val="24"/>
          <w14:textFill>
            <w14:solidFill>
              <w14:schemeClr w14:val="tx1"/>
            </w14:solidFill>
          </w14:textFill>
        </w:rPr>
      </w:pPr>
    </w:p>
    <w:p w14:paraId="5A2E5213">
      <w:pPr>
        <w:pStyle w:val="6"/>
        <w:widowControl w:val="0"/>
        <w:numPr>
          <w:ilvl w:val="0"/>
          <w:numId w:val="1"/>
        </w:numPr>
        <w:spacing w:before="120" w:beforeLines="50" w:after="120" w:afterLines="50" w:line="360" w:lineRule="auto"/>
        <w:contextualSpacing/>
        <w:jc w:val="both"/>
        <w:rPr>
          <w:rFonts w:asciiTheme="majorEastAsia" w:hAnsiTheme="majorEastAsia" w:eastAsiaTheme="majorEastAsia"/>
          <w:b/>
          <w:color w:val="000000" w:themeColor="text1"/>
          <w:sz w:val="24"/>
          <w:szCs w:val="24"/>
          <w14:textFill>
            <w14:solidFill>
              <w14:schemeClr w14:val="tx1"/>
            </w14:solidFill>
          </w14:textFill>
        </w:rPr>
      </w:pPr>
      <w:r>
        <w:rPr>
          <w:rFonts w:hint="eastAsia" w:asciiTheme="majorEastAsia" w:hAnsiTheme="majorEastAsia" w:eastAsiaTheme="majorEastAsia"/>
          <w:b/>
          <w:color w:val="000000" w:themeColor="text1"/>
          <w:sz w:val="24"/>
          <w:szCs w:val="24"/>
          <w14:textFill>
            <w14:solidFill>
              <w14:schemeClr w14:val="tx1"/>
            </w14:solidFill>
          </w14:textFill>
        </w:rPr>
        <w:t>生效日期</w:t>
      </w:r>
    </w:p>
    <w:p w14:paraId="3E0F7FBD">
      <w:pPr>
        <w:pStyle w:val="6"/>
        <w:numPr>
          <w:ilvl w:val="1"/>
          <w:numId w:val="6"/>
        </w:num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r>
        <w:rPr>
          <w:rFonts w:asciiTheme="majorEastAsia" w:hAnsiTheme="majorEastAsia" w:eastAsiaTheme="majorEastAsia"/>
          <w:color w:val="000000" w:themeColor="text1"/>
          <w:sz w:val="24"/>
          <w:szCs w:val="24"/>
          <w14:textFill>
            <w14:solidFill>
              <w14:schemeClr w14:val="tx1"/>
            </w14:solidFill>
          </w14:textFill>
        </w:rPr>
        <w:t>首次</w:t>
      </w:r>
      <w:r>
        <w:rPr>
          <w:rFonts w:hint="eastAsia" w:asciiTheme="majorEastAsia" w:hAnsiTheme="majorEastAsia" w:eastAsiaTheme="majorEastAsia"/>
          <w:color w:val="000000" w:themeColor="text1"/>
          <w:sz w:val="24"/>
          <w:szCs w:val="24"/>
          <w14:textFill>
            <w14:solidFill>
              <w14:schemeClr w14:val="tx1"/>
            </w14:solidFill>
          </w14:textFill>
        </w:rPr>
        <w:t>入学</w:t>
      </w:r>
      <w:r>
        <w:rPr>
          <w:rFonts w:hint="eastAsia" w:asciiTheme="majorEastAsia" w:hAnsiTheme="majorEastAsia" w:eastAsiaTheme="majorEastAsia"/>
          <w:color w:val="000000" w:themeColor="text1"/>
          <w14:textFill>
            <w14:solidFill>
              <w14:schemeClr w14:val="tx1"/>
            </w14:solidFill>
          </w14:textFill>
        </w:rPr>
        <w:t>衔接课程</w:t>
      </w:r>
      <w:r>
        <w:rPr>
          <w:rFonts w:hint="eastAsia" w:asciiTheme="majorEastAsia" w:hAnsiTheme="majorEastAsia" w:eastAsiaTheme="majorEastAsia"/>
          <w:color w:val="000000" w:themeColor="text1"/>
          <w:sz w:val="24"/>
          <w:szCs w:val="24"/>
          <w14:textFill>
            <w14:solidFill>
              <w14:schemeClr w14:val="tx1"/>
            </w14:solidFill>
          </w14:textFill>
        </w:rPr>
        <w:t>拟定于</w:t>
      </w:r>
      <w:r>
        <w:rPr>
          <w:rFonts w:asciiTheme="majorEastAsia" w:hAnsiTheme="majorEastAsia" w:eastAsiaTheme="majorEastAsia"/>
          <w:color w:val="000000" w:themeColor="text1"/>
          <w:sz w:val="24"/>
          <w:szCs w:val="24"/>
          <w:u w:val="single"/>
          <w14:textFill>
            <w14:solidFill>
              <w14:schemeClr w14:val="tx1"/>
            </w14:solidFill>
          </w14:textFill>
        </w:rPr>
        <w:t xml:space="preserve"> 2026 </w:t>
      </w:r>
      <w:r>
        <w:rPr>
          <w:rFonts w:hint="eastAsia" w:asciiTheme="majorEastAsia" w:hAnsiTheme="majorEastAsia" w:eastAsiaTheme="majorEastAsia"/>
          <w:color w:val="000000" w:themeColor="text1"/>
          <w:sz w:val="24"/>
          <w:szCs w:val="24"/>
          <w14:textFill>
            <w14:solidFill>
              <w14:schemeClr w14:val="tx1"/>
            </w14:solidFill>
          </w14:textFill>
        </w:rPr>
        <w:t>年</w:t>
      </w:r>
      <w:r>
        <w:rPr>
          <w:rFonts w:asciiTheme="majorEastAsia" w:hAnsiTheme="majorEastAsia" w:eastAsiaTheme="majorEastAsia"/>
          <w:color w:val="000000" w:themeColor="text1"/>
          <w:sz w:val="24"/>
          <w:szCs w:val="24"/>
          <w:u w:val="single"/>
          <w14:textFill>
            <w14:solidFill>
              <w14:schemeClr w14:val="tx1"/>
            </w14:solidFill>
          </w14:textFill>
        </w:rPr>
        <w:t xml:space="preserve"> 9 </w:t>
      </w:r>
      <w:r>
        <w:rPr>
          <w:rFonts w:hint="eastAsia" w:asciiTheme="majorEastAsia" w:hAnsiTheme="majorEastAsia" w:eastAsiaTheme="majorEastAsia"/>
          <w:color w:val="000000" w:themeColor="text1"/>
          <w:sz w:val="24"/>
          <w:szCs w:val="24"/>
          <w14:textFill>
            <w14:solidFill>
              <w14:schemeClr w14:val="tx1"/>
            </w14:solidFill>
          </w14:textFill>
        </w:rPr>
        <w:t>月</w:t>
      </w:r>
      <w:r>
        <w:rPr>
          <w:rFonts w:hint="eastAsia" w:asciiTheme="majorEastAsia" w:hAnsiTheme="majorEastAsia" w:eastAsiaTheme="majorEastAsia"/>
          <w:color w:val="000000" w:themeColor="text1"/>
          <w:sz w:val="24"/>
          <w:szCs w:val="24"/>
          <w:u w:val="single"/>
          <w14:textFill>
            <w14:solidFill>
              <w14:schemeClr w14:val="tx1"/>
            </w14:solidFill>
          </w14:textFill>
        </w:rPr>
        <w:t xml:space="preserve"> </w:t>
      </w:r>
      <w:r>
        <w:rPr>
          <w:rFonts w:asciiTheme="majorEastAsia" w:hAnsiTheme="majorEastAsia" w:eastAsiaTheme="majorEastAsia"/>
          <w:color w:val="000000" w:themeColor="text1"/>
          <w:sz w:val="24"/>
          <w:szCs w:val="24"/>
          <w:u w:val="single"/>
          <w14:textFill>
            <w14:solidFill>
              <w14:schemeClr w14:val="tx1"/>
            </w14:solidFill>
          </w14:textFill>
        </w:rPr>
        <w:t xml:space="preserve">1 </w:t>
      </w:r>
      <w:r>
        <w:rPr>
          <w:rFonts w:hint="eastAsia" w:asciiTheme="majorEastAsia" w:hAnsiTheme="majorEastAsia" w:eastAsiaTheme="majorEastAsia"/>
          <w:color w:val="000000" w:themeColor="text1"/>
          <w:sz w:val="24"/>
          <w:szCs w:val="24"/>
          <w14:textFill>
            <w14:solidFill>
              <w14:schemeClr w14:val="tx1"/>
            </w14:solidFill>
          </w14:textFill>
        </w:rPr>
        <w:t>日开始。以后批次按以下的时间表运行。</w:t>
      </w:r>
    </w:p>
    <w:p w14:paraId="73A45185">
      <w:pPr>
        <w:pStyle w:val="6"/>
        <w:numPr>
          <w:ilvl w:val="1"/>
          <w:numId w:val="6"/>
        </w:numPr>
        <w:spacing w:before="120" w:beforeLines="50" w:after="120" w:afterLines="50"/>
        <w:jc w:val="both"/>
        <w:rPr>
          <w:rFonts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拟定时间表</w:t>
      </w:r>
    </w:p>
    <w:tbl>
      <w:tblPr>
        <w:tblStyle w:val="3"/>
        <w:tblpPr w:leftFromText="180" w:rightFromText="180" w:vertAnchor="text" w:horzAnchor="margin" w:tblpXSpec="center" w:tblpY="164"/>
        <w:tblW w:w="84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402"/>
        <w:gridCol w:w="3786"/>
      </w:tblGrid>
      <w:tr w14:paraId="560E1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01D84FAF">
            <w:pPr>
              <w:spacing w:before="50" w:after="120"/>
              <w:jc w:val="both"/>
              <w:rPr>
                <w:rFonts w:asciiTheme="majorEastAsia" w:hAnsiTheme="majorEastAsia" w:eastAsiaTheme="majorEastAsia"/>
                <w:color w:val="000000" w:themeColor="text1"/>
                <w14:textFill>
                  <w14:solidFill>
                    <w14:schemeClr w14:val="tx1"/>
                  </w14:solidFill>
                </w14:textFill>
              </w:rPr>
            </w:pPr>
            <w:r>
              <w:rPr>
                <w:rFonts w:asciiTheme="majorEastAsia" w:hAnsiTheme="majorEastAsia" w:eastAsiaTheme="majorEastAsia"/>
                <w:color w:val="000000" w:themeColor="text1"/>
                <w14:textFill>
                  <w14:solidFill>
                    <w14:schemeClr w14:val="tx1"/>
                  </w14:solidFill>
                </w14:textFill>
              </w:rPr>
              <w:t>3</w:t>
            </w:r>
            <w:r>
              <w:rPr>
                <w:rFonts w:hint="eastAsia" w:asciiTheme="majorEastAsia" w:hAnsiTheme="majorEastAsia" w:eastAsiaTheme="majorEastAsia"/>
                <w:color w:val="000000" w:themeColor="text1"/>
                <w14:textFill>
                  <w14:solidFill>
                    <w14:schemeClr w14:val="tx1"/>
                  </w14:solidFill>
                </w14:textFill>
              </w:rPr>
              <w:t>月-6月</w:t>
            </w:r>
          </w:p>
        </w:tc>
        <w:tc>
          <w:tcPr>
            <w:tcW w:w="7188" w:type="dxa"/>
            <w:gridSpan w:val="2"/>
            <w:vAlign w:val="center"/>
          </w:tcPr>
          <w:p w14:paraId="6275A37F">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新国大苏研院衔接课程项目</w:t>
            </w:r>
            <w:r>
              <w:rPr>
                <w:rFonts w:asciiTheme="majorEastAsia" w:hAnsiTheme="majorEastAsia" w:eastAsiaTheme="majorEastAsia"/>
                <w:color w:val="000000" w:themeColor="text1"/>
                <w14:textFill>
                  <w14:solidFill>
                    <w14:schemeClr w14:val="tx1"/>
                  </w14:solidFill>
                </w14:textFill>
              </w:rPr>
              <w:t>的专家</w:t>
            </w:r>
            <w:r>
              <w:rPr>
                <w:rFonts w:hint="eastAsia" w:asciiTheme="majorEastAsia" w:hAnsiTheme="majorEastAsia" w:eastAsiaTheme="majorEastAsia"/>
                <w:color w:val="000000" w:themeColor="text1"/>
                <w14:textFill>
                  <w14:solidFill>
                    <w14:schemeClr w14:val="tx1"/>
                  </w14:solidFill>
                </w14:textFill>
              </w:rPr>
              <w:t>小组将面试获得推荐资格的大三学生，以决定学生是否能参加衔接课程；</w:t>
            </w:r>
          </w:p>
        </w:tc>
      </w:tr>
      <w:tr w14:paraId="0538E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76B2EE0D">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7月-8月</w:t>
            </w:r>
          </w:p>
        </w:tc>
        <w:tc>
          <w:tcPr>
            <w:tcW w:w="7188" w:type="dxa"/>
            <w:gridSpan w:val="2"/>
            <w:vAlign w:val="center"/>
          </w:tcPr>
          <w:p w14:paraId="4963657A">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新国大苏研院通知通过面试的学生注册衔接课程；</w:t>
            </w:r>
          </w:p>
        </w:tc>
      </w:tr>
      <w:tr w14:paraId="2839F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7287C0DA">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9月-1月</w:t>
            </w:r>
          </w:p>
        </w:tc>
        <w:tc>
          <w:tcPr>
            <w:tcW w:w="7188" w:type="dxa"/>
            <w:gridSpan w:val="2"/>
            <w:vAlign w:val="center"/>
          </w:tcPr>
          <w:p w14:paraId="5CFE70CB">
            <w:pPr>
              <w:spacing w:before="50" w:after="120"/>
              <w:jc w:val="both"/>
              <w:rPr>
                <w:rFonts w:asciiTheme="majorEastAsia" w:hAnsiTheme="majorEastAsia" w:eastAsiaTheme="majorEastAsia"/>
                <w:color w:val="000000" w:themeColor="text1"/>
                <w:lang w:val="da-DK"/>
                <w14:textFill>
                  <w14:solidFill>
                    <w14:schemeClr w14:val="tx1"/>
                  </w14:solidFill>
                </w14:textFill>
              </w:rPr>
            </w:pPr>
            <w:r>
              <w:rPr>
                <w:rFonts w:hint="eastAsia" w:asciiTheme="majorEastAsia" w:hAnsiTheme="majorEastAsia" w:eastAsiaTheme="majorEastAsia"/>
                <w:color w:val="000000" w:themeColor="text1"/>
                <w:lang w:val="da-DK"/>
                <w14:textFill>
                  <w14:solidFill>
                    <w14:schemeClr w14:val="tx1"/>
                  </w14:solidFill>
                </w14:textFill>
              </w:rPr>
              <w:t>衔接阶段1@新国大苏研院；</w:t>
            </w:r>
          </w:p>
        </w:tc>
      </w:tr>
      <w:tr w14:paraId="147BF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51CBD5F5">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lang w:val="en-US"/>
                <w14:textFill>
                  <w14:solidFill>
                    <w14:schemeClr w14:val="tx1"/>
                  </w14:solidFill>
                </w14:textFill>
              </w:rPr>
              <w:t>2月-5月</w:t>
            </w:r>
          </w:p>
        </w:tc>
        <w:tc>
          <w:tcPr>
            <w:tcW w:w="3402" w:type="dxa"/>
            <w:vAlign w:val="center"/>
          </w:tcPr>
          <w:p w14:paraId="13DBFD16">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lang w:val="da-DK"/>
                <w14:textFill>
                  <w14:solidFill>
                    <w14:schemeClr w14:val="tx1"/>
                  </w14:solidFill>
                </w14:textFill>
              </w:rPr>
              <w:t>衔接阶段2@新国大苏研院；</w:t>
            </w:r>
          </w:p>
        </w:tc>
        <w:tc>
          <w:tcPr>
            <w:tcW w:w="3786" w:type="dxa"/>
            <w:vAlign w:val="center"/>
          </w:tcPr>
          <w:p w14:paraId="7988E9BD">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学生在一月底到二月初期间申请新国大土木与环境工程系硕士学位课程</w:t>
            </w:r>
          </w:p>
        </w:tc>
      </w:tr>
      <w:tr w14:paraId="58971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7228B34E">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4月</w:t>
            </w:r>
          </w:p>
        </w:tc>
        <w:tc>
          <w:tcPr>
            <w:tcW w:w="7188" w:type="dxa"/>
            <w:gridSpan w:val="2"/>
            <w:vAlign w:val="center"/>
          </w:tcPr>
          <w:p w14:paraId="1E73B944">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满足新国大土木与环境工程系最低平均分录取要求的学生可申请</w:t>
            </w:r>
            <w:r>
              <w:rPr>
                <w:rFonts w:hint="eastAsia" w:asciiTheme="majorEastAsia" w:hAnsiTheme="majorEastAsia" w:eastAsiaTheme="majorEastAsia"/>
                <w:color w:val="000000" w:themeColor="text1"/>
                <w:lang w:val="en-US"/>
                <w14:textFill>
                  <w14:solidFill>
                    <w14:schemeClr w14:val="tx1"/>
                  </w14:solidFill>
                </w14:textFill>
              </w:rPr>
              <w:t>环境工程</w:t>
            </w:r>
            <w:r>
              <w:rPr>
                <w:rFonts w:hint="eastAsia" w:asciiTheme="majorEastAsia" w:hAnsiTheme="majorEastAsia" w:eastAsiaTheme="majorEastAsia"/>
                <w:color w:val="000000" w:themeColor="text1"/>
                <w14:textFill>
                  <w14:solidFill>
                    <w14:schemeClr w14:val="tx1"/>
                  </w14:solidFill>
                </w14:textFill>
              </w:rPr>
              <w:t>硕士课程。新国大土木与环境工程系在四月的第三周将符合要求的学生名单提交至新国大设计与工程学院理学硕士学位录取委员会讨论；</w:t>
            </w:r>
          </w:p>
        </w:tc>
      </w:tr>
      <w:tr w14:paraId="50F1A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377FCD74">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5月</w:t>
            </w:r>
          </w:p>
        </w:tc>
        <w:tc>
          <w:tcPr>
            <w:tcW w:w="7188" w:type="dxa"/>
            <w:gridSpan w:val="2"/>
            <w:vAlign w:val="center"/>
          </w:tcPr>
          <w:p w14:paraId="3CF9A9BE">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五月将发布课程硕士课程正式录取通知书；</w:t>
            </w:r>
          </w:p>
        </w:tc>
      </w:tr>
      <w:tr w14:paraId="22A3D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6183E959">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8月</w:t>
            </w:r>
          </w:p>
        </w:tc>
        <w:tc>
          <w:tcPr>
            <w:tcW w:w="7188" w:type="dxa"/>
            <w:gridSpan w:val="2"/>
            <w:vAlign w:val="center"/>
          </w:tcPr>
          <w:p w14:paraId="1C9BDE17">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已录取学生注册加入土木与环境工程系硕士项目；</w:t>
            </w:r>
          </w:p>
        </w:tc>
      </w:tr>
      <w:tr w14:paraId="1E962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242" w:type="dxa"/>
            <w:vAlign w:val="center"/>
          </w:tcPr>
          <w:p w14:paraId="031FA16A">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8月-5月（次年）</w:t>
            </w:r>
          </w:p>
        </w:tc>
        <w:tc>
          <w:tcPr>
            <w:tcW w:w="7188" w:type="dxa"/>
            <w:gridSpan w:val="2"/>
            <w:vAlign w:val="center"/>
          </w:tcPr>
          <w:p w14:paraId="6F800D96">
            <w:pPr>
              <w:spacing w:before="50" w:after="120"/>
              <w:jc w:val="both"/>
              <w:rPr>
                <w:rFonts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学生完成10门相关专业课程并达到毕业要求的加权平均分</w:t>
            </w:r>
            <w:bookmarkStart w:id="0" w:name="OLE_LINK5"/>
            <w:r>
              <w:rPr>
                <w:rFonts w:hint="eastAsia" w:asciiTheme="majorEastAsia" w:hAnsiTheme="majorEastAsia" w:eastAsiaTheme="majorEastAsia"/>
                <w:color w:val="000000" w:themeColor="text1"/>
                <w14:textFill>
                  <w14:solidFill>
                    <w14:schemeClr w14:val="tx1"/>
                  </w14:solidFill>
                </w14:textFill>
              </w:rPr>
              <w:t>；办理毕业手续。</w:t>
            </w:r>
            <w:bookmarkEnd w:id="0"/>
          </w:p>
        </w:tc>
      </w:tr>
    </w:tbl>
    <w:p w14:paraId="691F952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B975E5"/>
    <w:multiLevelType w:val="multilevel"/>
    <w:tmpl w:val="19B975E5"/>
    <w:lvl w:ilvl="0" w:tentative="0">
      <w:start w:val="1"/>
      <w:numFmt w:val="japaneseCounting"/>
      <w:lvlText w:val="%1、"/>
      <w:lvlJc w:val="left"/>
      <w:pPr>
        <w:ind w:left="420" w:hanging="420"/>
      </w:pPr>
      <w:rPr>
        <w:rFonts w:hint="eastAsia" w:eastAsia="宋体" w:cs="Times New Roman" w:asciiTheme="minorHAnsi" w:hAnsiTheme="minorHAnsi"/>
      </w:rPr>
    </w:lvl>
    <w:lvl w:ilvl="1" w:tentative="0">
      <w:start w:val="1"/>
      <w:numFmt w:val="decimal"/>
      <w:lvlText w:val="4.%2"/>
      <w:lvlJc w:val="left"/>
      <w:pPr>
        <w:ind w:left="450" w:hanging="45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25D93EFA"/>
    <w:multiLevelType w:val="multilevel"/>
    <w:tmpl w:val="25D93EFA"/>
    <w:lvl w:ilvl="0" w:tentative="0">
      <w:start w:val="1"/>
      <w:numFmt w:val="japaneseCounting"/>
      <w:lvlText w:val="%1、"/>
      <w:lvlJc w:val="left"/>
      <w:pPr>
        <w:ind w:left="420" w:hanging="420"/>
      </w:pPr>
      <w:rPr>
        <w:rFonts w:hint="eastAsia" w:eastAsia="宋体" w:cs="Times New Roman" w:asciiTheme="minorHAnsi" w:hAnsiTheme="minorHAnsi"/>
      </w:rPr>
    </w:lvl>
    <w:lvl w:ilvl="1" w:tentative="0">
      <w:start w:val="1"/>
      <w:numFmt w:val="decimal"/>
      <w:lvlText w:val="3.%2"/>
      <w:lvlJc w:val="left"/>
      <w:pPr>
        <w:ind w:left="450" w:hanging="45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2DE44268"/>
    <w:multiLevelType w:val="multilevel"/>
    <w:tmpl w:val="2DE44268"/>
    <w:lvl w:ilvl="0" w:tentative="0">
      <w:start w:val="1"/>
      <w:numFmt w:val="bullet"/>
      <w:lvlText w:val="•"/>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2ECF04A9"/>
    <w:multiLevelType w:val="multilevel"/>
    <w:tmpl w:val="2ECF04A9"/>
    <w:lvl w:ilvl="0" w:tentative="0">
      <w:start w:val="1"/>
      <w:numFmt w:val="decimal"/>
      <w:lvlText w:val="%1."/>
      <w:lvlJc w:val="left"/>
      <w:pPr>
        <w:ind w:left="360" w:hanging="360"/>
      </w:pPr>
      <w:rPr>
        <w:rFonts w:hint="eastAsia"/>
        <w:strike w:val="0"/>
        <w:dstrike w:val="0"/>
        <w:vertAlign w:val="baseline"/>
      </w:rPr>
    </w:lvl>
    <w:lvl w:ilvl="1" w:tentative="0">
      <w:start w:val="1"/>
      <w:numFmt w:val="decimal"/>
      <w:isLgl/>
      <w:lvlText w:val="%1.%2"/>
      <w:lvlJc w:val="left"/>
      <w:pPr>
        <w:ind w:left="480" w:hanging="480"/>
      </w:pPr>
      <w:rPr>
        <w:rFonts w:hint="default"/>
      </w:rPr>
    </w:lvl>
    <w:lvl w:ilvl="2" w:tentative="0">
      <w:start w:val="1"/>
      <w:numFmt w:val="decimal"/>
      <w:isLgl/>
      <w:lvlText w:val="%1.%2.%3"/>
      <w:lvlJc w:val="left"/>
      <w:pPr>
        <w:ind w:left="1440" w:hanging="720"/>
      </w:pPr>
      <w:rPr>
        <w:rFonts w:hint="default"/>
      </w:rPr>
    </w:lvl>
    <w:lvl w:ilvl="3" w:tentative="0">
      <w:start w:val="1"/>
      <w:numFmt w:val="decimal"/>
      <w:isLgl/>
      <w:lvlText w:val="%1.%2.%3.%4"/>
      <w:lvlJc w:val="left"/>
      <w:pPr>
        <w:ind w:left="2160" w:hanging="1080"/>
      </w:pPr>
      <w:rPr>
        <w:rFonts w:hint="default"/>
      </w:rPr>
    </w:lvl>
    <w:lvl w:ilvl="4" w:tentative="0">
      <w:start w:val="1"/>
      <w:numFmt w:val="decimal"/>
      <w:isLgl/>
      <w:lvlText w:val="%1.%2.%3.%4.%5"/>
      <w:lvlJc w:val="left"/>
      <w:pPr>
        <w:ind w:left="2520" w:hanging="1080"/>
      </w:pPr>
      <w:rPr>
        <w:rFonts w:hint="default"/>
      </w:rPr>
    </w:lvl>
    <w:lvl w:ilvl="5" w:tentative="0">
      <w:start w:val="1"/>
      <w:numFmt w:val="decimal"/>
      <w:isLgl/>
      <w:lvlText w:val="%1.%2.%3.%4.%5.%6"/>
      <w:lvlJc w:val="left"/>
      <w:pPr>
        <w:ind w:left="3240" w:hanging="1440"/>
      </w:pPr>
      <w:rPr>
        <w:rFonts w:hint="default"/>
      </w:rPr>
    </w:lvl>
    <w:lvl w:ilvl="6" w:tentative="0">
      <w:start w:val="1"/>
      <w:numFmt w:val="decimal"/>
      <w:isLgl/>
      <w:lvlText w:val="%1.%2.%3.%4.%5.%6.%7"/>
      <w:lvlJc w:val="left"/>
      <w:pPr>
        <w:ind w:left="3960" w:hanging="1800"/>
      </w:pPr>
      <w:rPr>
        <w:rFonts w:hint="default"/>
      </w:rPr>
    </w:lvl>
    <w:lvl w:ilvl="7" w:tentative="0">
      <w:start w:val="1"/>
      <w:numFmt w:val="decimal"/>
      <w:isLgl/>
      <w:lvlText w:val="%1.%2.%3.%4.%5.%6.%7.%8"/>
      <w:lvlJc w:val="left"/>
      <w:pPr>
        <w:ind w:left="4320" w:hanging="1800"/>
      </w:pPr>
      <w:rPr>
        <w:rFonts w:hint="default"/>
      </w:rPr>
    </w:lvl>
    <w:lvl w:ilvl="8" w:tentative="0">
      <w:start w:val="1"/>
      <w:numFmt w:val="decimal"/>
      <w:isLgl/>
      <w:lvlText w:val="%1.%2.%3.%4.%5.%6.%7.%8.%9"/>
      <w:lvlJc w:val="left"/>
      <w:pPr>
        <w:ind w:left="5040" w:hanging="2160"/>
      </w:pPr>
      <w:rPr>
        <w:rFonts w:hint="default"/>
      </w:rPr>
    </w:lvl>
  </w:abstractNum>
  <w:abstractNum w:abstractNumId="4">
    <w:nsid w:val="31A00FF9"/>
    <w:multiLevelType w:val="multilevel"/>
    <w:tmpl w:val="31A00FF9"/>
    <w:lvl w:ilvl="0" w:tentative="0">
      <w:start w:val="1"/>
      <w:numFmt w:val="japaneseCounting"/>
      <w:lvlText w:val="%1、"/>
      <w:lvlJc w:val="left"/>
      <w:pPr>
        <w:ind w:left="420" w:hanging="420"/>
      </w:pPr>
      <w:rPr>
        <w:rFonts w:hint="eastAsia" w:eastAsia="宋体" w:cs="Times New Roman" w:asciiTheme="minorHAnsi" w:hAnsiTheme="minorHAnsi"/>
      </w:rPr>
    </w:lvl>
    <w:lvl w:ilvl="1" w:tentative="0">
      <w:start w:val="1"/>
      <w:numFmt w:val="decimal"/>
      <w:lvlText w:val="2.%2"/>
      <w:lvlJc w:val="left"/>
      <w:pPr>
        <w:ind w:left="450" w:hanging="45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75074E67"/>
    <w:multiLevelType w:val="multilevel"/>
    <w:tmpl w:val="75074E67"/>
    <w:lvl w:ilvl="0" w:tentative="0">
      <w:start w:val="1"/>
      <w:numFmt w:val="japaneseCounting"/>
      <w:lvlText w:val="%1、"/>
      <w:lvlJc w:val="left"/>
      <w:pPr>
        <w:ind w:left="420" w:hanging="420"/>
      </w:pPr>
      <w:rPr>
        <w:rFonts w:hint="eastAsia" w:eastAsia="宋体" w:cs="Times New Roman" w:asciiTheme="minorHAnsi" w:hAnsiTheme="minorHAnsi"/>
      </w:rPr>
    </w:lvl>
    <w:lvl w:ilvl="1" w:tentative="0">
      <w:start w:val="1"/>
      <w:numFmt w:val="decimal"/>
      <w:lvlText w:val="5.%2"/>
      <w:lvlJc w:val="left"/>
      <w:pPr>
        <w:ind w:left="450" w:hanging="45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7A34F9"/>
    <w:rsid w:val="387A3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sz w:val="22"/>
      <w:szCs w:val="22"/>
      <w:lang w:val="en-SG"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pPr>
    <w:rPr>
      <w:rFonts w:ascii="Times New Roman" w:hAnsi="Times New Roman"/>
      <w:sz w:val="24"/>
      <w:szCs w:val="24"/>
      <w:lang w:val="en-US"/>
    </w:rPr>
  </w:style>
  <w:style w:type="paragraph" w:customStyle="1" w:styleId="5">
    <w:name w:val="无间隔1"/>
    <w:qFormat/>
    <w:uiPriority w:val="1"/>
    <w:pPr>
      <w:spacing w:after="160" w:line="278" w:lineRule="auto"/>
    </w:pPr>
    <w:rPr>
      <w:rFonts w:ascii="Calibri" w:hAnsi="Calibri" w:cs="Times New Roman" w:eastAsiaTheme="minorEastAsia"/>
      <w:sz w:val="22"/>
      <w:szCs w:val="22"/>
      <w:lang w:val="en-SG" w:eastAsia="zh-CN" w:bidi="ar-SA"/>
    </w:rPr>
  </w:style>
  <w:style w:type="paragraph" w:customStyle="1" w:styleId="6">
    <w:name w:val="列表段落1"/>
    <w:basedOn w:val="1"/>
    <w:qFormat/>
    <w:uiPriority w:val="34"/>
    <w:pPr>
      <w:spacing w:after="160" w:line="278" w:lineRule="auto"/>
      <w:ind w:left="720"/>
    </w:pPr>
    <w:rPr>
      <w:rFonts w:eastAsiaTheme="minorEastAsi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2026-06-24T09:19:00Z</dcterms:created>
  <dc:creator>王娟娟</dc:creator>
  <cp:lastModifiedBy>王娟娟</cp:lastModifiedBy>
  <dcterms:modified xsi:type="dcterms:W3CDTF">2026-06-24T09:20:00Z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52FB694F2C5042358A75A3427FAB6B17_11</vt:lpwstr>
  </property>
  <property fmtid="{D5CDD505-2E9C-101B-9397-08002B2CF9AE}" pid="4" name="KSOTemplateDocerSaveRecord">
    <vt:lpwstr>eyJoZGlkIjoiYWFmODUxMzAxNjQ4Yzg0N2IwN2E1MzNkYzYwNTFiZjkiLCJ1c2VySWQiOiIxNDg5MDcwMTE2In0=</vt:lpwstr>
  </property>
</Properties>
</file>